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4A_77/2025 vom 16. Oktober 2025</w:t>
      </w:r>
    </w:p>
    <w:p>
      <w:r>
        <w:t>Bundesgericht, 2025-10-16, FR</w:t>
      </w:r>
    </w:p>
    <w:p>
      <w:r>
        <w:rPr>
          <w:b/>
        </w:rPr>
        <w:t xml:space="preserve">Quelle: </w:t>
      </w:r>
      <w:r>
        <w:t>https://mcp.opencaselaw.ch/entscheid/bger_4A_77_2025</w:t>
      </w:r>
    </w:p>
    <w:p>
      <w:r>
        <w:t>FR: TF 4A_77/2025 du 16 octobre 2025</w:t>
      </w:r>
    </w:p>
    <w:p>
      <w:r>
        <w:t>IT: TF 4A_77/2025 del 16 ottobre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l'arbitre, celles-ci ont employé l'anglais, tandis que, dans les mémoires qu'elles ont adressés au Tribunal fédéral, elles se sont servies qui du français (la recourante), qui de l'allemand (l'intimée). Dès lors, le présent arrêt sera rendu dans la langue du recours, conformément à l'usage.</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de l'arbitrage se trouve à Genève.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 Demeure toutefois réservé l'examen de la recevabilité des critiques formulées par l'intéressée au soutien de ses griefs.</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1.4; 140 III 16 consid. 1.3.1 et les références citées; arrêts 4A_54/2019 du 11 avril 2019 consid. 2.4; 4A_322/2015 du 27 juin 2016 consid. 3).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(arrêts 4A_486/2023 du 26 avril 2024 consid. 4.2;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En premier lieu, la recourante soutient que l'arbitre a été désigné de manière irrégulière ( art. 190 al. 2 let. a LDIP ). Elle fait grief au secrétariat du Swiss Arbitration Centre de ne pas lui avoir notifié, par courrier, un exemplaire du dossier de la cause avant de procéder à la nomination de l'arbitre. Selon la recourante, le fait qu'elle a été invitée, uniquement par voie électronique, à répondre à la notification d'arbitrage et à formuler ses commentaires relatifs aux critères de sélection de l'arbitre contreviendrait aux engagement contractuels pris par les parties d'avoir recours à des notifications postales. La recourante - qui souligne que le dossier de la cause lui a été transmis par courrier du 30 août 2024, reçu le 3 septembre 2024 - estime que la désignation de l'arbitre est viciée puisqu'elle est intervenue à la suite de notifications effectuées exclusivement par voie électronique.</w:t>
      </w:r>
    </w:p>
    <w:p>
      <w:r>
        <w:rPr>
          <w:b/>
        </w:rPr>
        <w:t>E. 5.1</w:t>
      </w:r>
    </w:p>
    <w:p>
      <w:r>
        <w:t>Aux termes de l' art. 190 al. 2 let. a LDIP , une sentence rendue dans le cadre d'un arbitrage international peut être attaquée lorsque l'arbitre unique a été irrégulièrement désigné ou le tribunal arbitral irrégulièrement composé. Par régularité de la constitution du tribunal arbitral ou de la désignation de l'arbitre unique, au sens de cette disposition, il faut entendre la manière dont le ou les arbitres ont été nommés ou remplacés ( art. 179 LDIP ) et les questions relatives à leur indépendance ( art. 180 LDIP ). Le grief tiré de la composition irrégulière du tribunal arbitral visé par l' art. 190 al. 2 let. a LDIP inclut aussi l'hypothèse dans laquelle le tribunal arbitral a été constitué en violation de la convention des parties ( ATF 139 III 511 consid. 4; arrêt 4A_78/2024 du 3 juin 2025 consid. 7.7.1). En vertu du principe de la bonne foi, le droit d'invoquer le moyen tiré de la composition irrégulière du tribunal arbitral se périme si la partie ne le fait pas valoir immédiatement, car elle ne saurait le garder en réserve pour ne l'invoquer qu'en cas d'issue défavorable de la procédure arbitrale ( ATF 136 III 605 consid. 3.2.2; 129 III 445 consid. 3.1 et les références citées; 4A_268/2024 du 11 octobre 2024 consid. 4.2). Depuis le 1er janvier 2021, l' art. 182 al. 4 LDIP dispose aussi qu'une partie qui poursuit la procédure d'arbitrage sans faire valoir immédiatement une violation des règles de procédure qu'elle a constatée ou qu'elle aurait pu constater en faisant preuve de la diligence requise ne peut plus se prévaloir de cette violation ultérieurement.</w:t>
      </w:r>
    </w:p>
    <w:p>
      <w:r>
        <w:rPr>
          <w:b/>
        </w:rPr>
        <w:t>E. 5.2</w:t>
      </w:r>
    </w:p>
    <w:p>
      <w:r>
        <w:t>En l'occurrence, l'intimée - sans être véritablement contredite par la recourante - démontre de manière concrète, dans sa réponse au recours, en détaillant les différentes étapes de la procédure arbitrale, que la recourante n'a jamais contesté la désignation prétendument irrégulière de l'arbitre durant la procédure d'arbitrage. À la lecture de la sentence attaquée, il apparaît en effet que le dossier de l'arbitrage a été notifié le 3 septembre 2024, par courrier, à la recourante. Or, à réception de cet envoi, la recourante n'a pas formulé la moindre objection relative à la désignation de l'arbitre. Elle n'a pas davantage émis de critique à ce sujet ultérieurement au cours de la procédure d'arbitrage. Pourtant, si elle considérait réellement que la nomination de l'arbitre était entachée d'un vice, la recourante aurait pu et dû s'en plaindre immédiatement. Or, elle ne l'a pas fait. Les explications fournies par la recourante pour tenter de justifier pareille omission n'emportent nullement la conviction de la Cour de céans et sont dénuées de pertinence. Il suit de là que le moyen soulevé aujourd'hui par la recourante est frappé de forclusion, si bien qu'il n'est pas possible d'en examiner les mérites.</w:t>
      </w:r>
    </w:p>
    <w:p>
      <w:r>
        <w:rPr>
          <w:b/>
        </w:rPr>
        <w:t>E. 6</w:t>
      </w:r>
    </w:p>
    <w:p>
      <w:r>
        <w:t>En deuxième lieu, la recourante, invoquant l' art. 190 al. 2 let . d et e LDIP en relation avec l' art. 182 al. 3 LDIP , reproche à l'arbitre d'avoir enfreint son droit d'être entendue et d'avoir violé le principe d'égalité des parties. Selon la recourante, le non-respect de ces garanties aurait débouché sur un établissement arbitraire des faits et " une décision incompatible avec l'ordre juridique et les valeurs prévalant dans un État de droit ".</w:t>
      </w:r>
    </w:p>
    <w:p>
      <w:r>
        <w:rPr>
          <w:b/>
        </w:rPr>
        <w:t>E. 6.1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 ATF 142 III 360 consid. 4.1.1). 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 Le principe de la contradiction suppose que chaque partie ait la faculté de se déterminer sur les moyens de son adversaire, d'examiner et de discuter les preuves apportées par lui et de les réfuter par ses propres preuves ( ATF 142 III 360 consid. 4.1.1).</w:t>
      </w:r>
    </w:p>
    <w:p>
      <w:r>
        <w:rPr>
          <w:b/>
        </w:rPr>
        <w:t>E. 6.2</w:t>
      </w:r>
    </w:p>
    <w:p>
      <w:r>
        <w:t>La recourante reproche, en substance, à l'arbitre d'avoir conduit la procédure de manière expéditive, à l'issue d'un processus de notification non conforme aux exigences convenues par les parties. Selon elle, l'arbitre aurait ainsi imposé aux parties un calendrier procédural prévoyant une " cadence serrée " s'apparentant à celui d'une procédure accélérée. La recourante fait en particulier grief à l'arbitre de lui avoir imparti des délais très brefs pour déposer ses écritures et présenter ses moyens de preuve, d'avoir refusé de lui accorder une restitution de délai, d'avoir maintenu l'audience fixée alors même qu'elle venait de désigner un avocat pour assurer la défense de ses intérêts et d'avoir refusé de faire droit aux divers ajustements procéduraux sollicités par elle. Elle se plaint aussi de ce que l'arbitre ne l'a pas rendue attentive aux conséquences découlant du non-respect de certains délais procéduraux fondamentaux. L'intransigeance manifestée par l'arbitre vis-à-vis de la recourante contrasterait singulièrement, selon cette dernière, avec la clémence dont il aurait fait preuve à l'égard de l'intimée, laquelle a bénéficié de relances spontanées, s'est vu offrir la possibilité de compléter ses écritures et déposer des moyens de preuve supplémentaires, a pu soumettre tardivement une écriture en raison de circonstances exceptionnelles et obtenir le remboursement immédiat des frais qu'elle avait avancés en lieu et place de son adversaire.</w:t>
      </w:r>
    </w:p>
    <w:p>
      <w:r>
        <w:rPr>
          <w:b/>
        </w:rPr>
        <w:t>E. 6.3</w:t>
      </w:r>
    </w:p>
    <w:p>
      <w:r>
        <w:t>À la lecture de l'argumentation présentée par la recourante, il apparaît que celle-ci méconnaît une nouvelle fois l' art. 182 al. 4 LDIP ainsi que le principe de la bonne foi, en vertu duquel il n'est pas admissible de garder en réserve des griefs concernant des vices de procédure qui auraient pu et dû être invoqués immédiatement. Si la recourante estimait que les décisions procédurales incriminées portaient atteinte à son droit d'être entendue, respectivement qu'elles consacraient une inégalité procédurale entre les parties, elle aurait dû s'en plaindre immédiatement auprès de l'arbitre. Ne l'ayant pas fait, la recourante ne saurait dénoncer de telles violations, pour la première fois, dans son recours au Tribunal fédéral dirigé contre la sentence finale. Il ne suffit pas, comme le fait pourtant la recourante, d'affirmer, en des termes généraux et sans la moindre référence précise à des éléments concrets du dossier, qu'elle a entrepris, durant la procédure d'arbitrage, " des efforts raisonnables et constants... pour tenter de parer aux vices procéduraux " dont elle se plaint à présent. En tout état de cause, la Cour de céans, eu égard à l'ensemble des circonstances procédurales de la cause en litige et sur le vu des explications convaincantes fournies par l'intimée qu'elle fait siennes, considère que les éléments avancés par la recourante ne permettent pas d'établir que l'arbitre aurait enfreint son droit d'être entendue ou traité les parties de manière inégale. Même s'il avait été recevable, ce qui n'est pas le cas, le moyen examiné ne pourrait dès lors qu'être rejeté.</w:t>
      </w:r>
    </w:p>
    <w:p>
      <w:r>
        <w:rPr>
          <w:b/>
        </w:rPr>
        <w:t>E. 7</w:t>
      </w:r>
    </w:p>
    <w:p>
      <w:r>
        <w:t>En troisième et dernier lieu, la recourante, invoquant l' art. 190 al. 2 let . e LDIP, prétend que la sentence incriminée est incompatible avec l'ordre public matériel car elle contrevient aux principes de la fidélité contractuelle et de la bonne foi.</w:t>
      </w:r>
    </w:p>
    <w:p>
      <w:r>
        <w:rPr>
          <w:b/>
        </w:rPr>
        <w:t>E. 7.1</w:t>
      </w:r>
    </w:p>
    <w:p>
      <w:r>
        <w:t>Une sentence est incompatible avec l'ordre public matériel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l'arbitre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juger si la sentence est compatible avec l'ordre public matériel,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7.2</w:t>
      </w:r>
    </w:p>
    <w:p>
      <w:r>
        <w:t>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4A_638/2024 du 27 mars 2025 consid. 5.2 et les références citées).</w:t>
      </w:r>
    </w:p>
    <w:p>
      <w:r>
        <w:rPr>
          <w:b/>
        </w:rPr>
        <w:t>E. 7.3</w:t>
      </w:r>
    </w:p>
    <w:p>
      <w:r>
        <w:t>Dans la sentence attaquée, l'arbitre constate que les parties ont inséré dans les contrats de vente, sous la rubrique intitulée " analysis/weight/quality ", une clause prévoyant que la qualité des marchandises devait satisfaire aux exigences prévues par la réglementation grecque dans le domaine vétérinaire et que tous les coûts seraient, en cas de refus d'importation, à la charge de la venderesse. Sur la base des preuves recueillies, il considère que les autorités grecques ont refusé d'autoriser l'importation des trois cargaisons car la société D.________ LLC ne possédait pas l'agrément européen nécessaire à l'importation de marchandises destinées à l'alimentation des animaux. Eu égard à la clause susmentionnée, l'arbitre estime que la venderesse doit en principe supporter les frais liés à ce refus d'importation signifié par les autorités grecques. Examinant les divers moyens de défense invoqués par la recourante, il relève que les parties ont discuté, lors des négociations ayant précédé la signature des contrats de vente, du fait que la société D.________ LLC possédait une autorisation européenne lui permettant uniquement d'importer des marchandises destinées à la consommation humaine (" EU approval for food products "). Se fondant notamment sur les correspondances échangées par les parties, l'arbitre considère cependant que celles-ci partageaient l'avis selon lequel l'absence d'agrément européen de la société précitée pour les produits destinés à l'alimentation animale n'entraînerait pas automatiquement un refus d'importation, mais pourrait plutôt donner lieu à des contrôles supplémentaires des autorités grecques. Les parties étaient conscientes du risque existant et en ont réglé les conséquences, en stipulant que la venderesse supporterait les coûts liés à éventuel refus d'importation. L'arbitre juge ainsi que l'acheteuse a droit au remboursement des montants qu'elle a payés à la partie venderesse sur la base des contrats de vente.</w:t>
      </w:r>
    </w:p>
    <w:p>
      <w:r>
        <w:rPr>
          <w:b/>
        </w:rPr>
        <w:t>E. 7.4</w:t>
      </w:r>
    </w:p>
    <w:p>
      <w:r>
        <w:t>En l'espèce, force est d'emblée de souligner que, sous le couvert du moyen pris de la violation du principe pacta sunt servanda et de celui de la bonne foi, la recourante méconnaît totalement la notion spécifique de fidélité contractuelle, rappelée ci-dessus, puisqu'elle s'en sert, en réalité, pour tenter de détourner l'interdiction de critiquer l'application du droit matériel dans un recours en matière civile dirigé contre une sentence arbitrale internationale, ce qui n'est pas admissible. Quoi qu'il en soit, bien que la recourante soutienne le contraire, l'arbitre n'a pas violé le principe de la fidélité contractuelle au sens restrictif que lui donne la jurisprudence relative à l' art. 190 al. 2 let . e LDIP, puisqu'il n'a pas appliqué ou refusé d'appliquer une disposition contractuelle liant les parties en se mettant en contradiction avec le résultat de son interprétation, ce qui seul importe ici. L'argumentation présentée par la recourante, outre le fait qu'elle n'est guère intelligible et qu'elle revêt de surcroît un caractère appellatoire marqué, ne laisse apparaître aucune contradiction qui serait incompatible avec le principe de la fidélité contractuelle. Aussi la recourante ne peut-elle pas être suivie lorsqu'elle affirme, sans en faire nullement la démonstration, que l'arbitre n'aurait pas appliqué les dispositions contractuelles liant les parties, mais qu'il se serait exclusivement fondé sur les termes d'un autre contrat conclu entre une tierce partie et l'intimée pour aboutir à la solution retenue par lui. Il s'ensuit le rejet du grief examiné dans la mesure de sa recevabilité.</w:t>
      </w:r>
    </w:p>
    <w:p>
      <w:r>
        <w:rPr>
          <w:b/>
        </w:rPr>
        <w:t>E. 8</w:t>
      </w:r>
    </w:p>
    <w:p>
      <w:r>
        <w:t>Au vu de ce qui précède, le recours ne peut qu'être rejeté dans la mesure de sa recevabilité. La recourante, qui succombe, supportera les frais de la présente procédure ( art. 66 al. 1 LTF ) et versera des dépens à l'intimée (art. 68 al. 1 et 2).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