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77/2019 vom 7. Mai 2019</w:t>
      </w:r>
    </w:p>
    <w:p>
      <w:r>
        <w:t>Bundesgericht, 2019-05-07, FR</w:t>
      </w:r>
    </w:p>
    <w:p>
      <w:r>
        <w:rPr>
          <w:b/>
        </w:rPr>
        <w:t xml:space="preserve">Quelle: </w:t>
      </w:r>
      <w:r>
        <w:t>https://mcp.opencaselaw.ch/entscheid/bger_4A_77_2019</w:t>
      </w:r>
    </w:p>
    <w:p>
      <w:r>
        <w:t>FR: TF 4A 77/2019 du 7 mai 2019</w:t>
      </w:r>
    </w:p>
    <w:p>
      <w:r>
        <w:t>IT: TF 4A 77/2019 del 7 maggio 2019</w:t>
      </w:r>
    </w:p>
    <w:p>
      <w:pPr>
        <w:pStyle w:val="Heading2"/>
      </w:pPr>
      <w:r>
        <w:t>Regeste</w:t>
      </w:r>
    </w:p>
    <w:p>
      <w:r>
        <w:t>Protection des données, communication transfrontalière, motifs justificatifs | Propriété intellectuelle, concurrence et cartels</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le demandeur, en tant que gestionnaire de fortune et directeur d'une société de gestion, vise avant tout à éviter un interrogatoire, voire une inculpation pénale aux Etats-Unis, de sorte qu'il ne poursuit pas un but économique. Partant, la contestation porte sur un droit de nature non pécuniaire ( ATF 142 III 145 consid. 6.1 et 6.2 p. 150 s.) et le recours en matière civile est donc ouvert sans restriction quant à la valeur litigieuse (cf. art. 74 al. 1 LTF a contrario ).</w:t>
      </w:r>
    </w:p>
    <w:p>
      <w:r>
        <w:rPr>
          <w:b/>
        </w:rPr>
        <w:t>E. 1.2</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1.3</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retient que les Etats-Unis n'offrent pas un niveau de protection des données adéquat au sens de l' art. 6 al. 1 LPD . Elle relève que la conclusion d'un nouvel accord ( Privacy Shield ) entre la Suisse et les Etats-Unis n'est d'aucune aide pour la défenderesse puisque les autorités et administrations publiques américaines ne sont pas concernées par cet accord. Elle examine ensuite si la défenderesse peut se prévaloir d'un motif justificatif - en l'occurrence l'intérêt public prépondérant prévu à l' art. 6 al. 2 let . d, première alternative, LPD (seul motif examiné par les juges précédents).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 Procédant à une pesée des intérêts in concreto , la cour cantonale a jugé que la transmission des données litigieuses n'apparaissait pas indispensable pour sauvegarder la place financière suisse principalement sur la base de deux éléments : Premièrement, la banque n'a apporté aucun élément qui permettrait d'établir que le DoJ considère que les informations qui lui ont été remises seraient incomplètes et que la non-communication des données litigieuses pourrait concrètement en l'état actuel mettre en péril l'accord NPA et/ou entraîner une inculpation de la banque (existence d'un risque de dénonciation et/ou d'inculpation). A cet égard, il n'est d'ailleurs pas établi que la défenderesse aurait fait l'objet de relances spécifiques ou de pressions de la part du DoJ. Deuxièmement, il n'a pas été retenu qu'une annulation de l'accord NPA aurait (risque subséquent) des répercussions sur l'ensemble de la place financière suisse ou qu'elle raviverait le conflit fiscal opposant les banques suisses aux autorités américaines. Enfin, la cour cantonale ajoute que l'intérêt privé du demandeur à refuser la communication de ses données est " important " dans la mesure où, en cas de transmission de ses données aux Etats-Unis, il est susceptible de devoir faire face à des poursuites pénales s'il se rend dans ce pays.</w:t>
      </w:r>
    </w:p>
    <w:p>
      <w:r>
        <w:rPr>
          <w:b/>
        </w:rPr>
        <w:t>E. 3</w:t>
      </w:r>
    </w:p>
    <w:p>
      <w:r>
        <w:t>Sur le fond, la recourante (banque défenderesse) soutient que la cour cantonale a violé l' art. 8 CC et l' art. 6 LPD en ne retenant pas que les données litigieuses ont déjà été remises aux autorités américaines au cours d'une procédure de Voluntary Disclosure de la part du client américain (ce qui permettrait, selon la recourante, de nier tout intérêt privé du demandeur à refuser la communication de ses données aux USA) et (comme conséquence logique du constat qui précède) en n'admettant pas la réalisation des conditions de l' art. 6 al. 2 let . d première alternative LPD. 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 Voluntary Disclosure , qui doivent être distinguées de la question principale, il en sera tenu compte lors de la subsomption.</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alternative LPD (seul motif entrant en l'occurrence en ligne de compte),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 4A_390/2017 déjà cité consid. 4.2.2).</w:t>
      </w:r>
    </w:p>
    <w:p>
      <w:r>
        <w:rPr>
          <w:b/>
        </w:rPr>
        <w:t>E. 3.2.3</w:t>
      </w:r>
    </w:p>
    <w:p>
      <w:r>
        <w:t>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 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La cour cantonale a examiné le contexte dans lequel intervenait la communication souhaitée par la banque et elle a jugé que la transmission des données litigieuses de l'intéressé, gestionnaire indépendant d'un seul compte " américain ", n'apparaissait pas indispensable pour sauvegarder la place financière suisse sur la base de deux éléments principaux : Premièrement, la banque n'a apporté aucun élément qui permettrait d'établir que le DoJ considère que les informations qui lui ont été remises seraient incomplètes et qu'il existerait en l'état actuel un risque concret de dénonciation de l'accord NPA et/ou d'inculpation de la banque. A cet égard, il n'est d'ailleurs pas établi que la défenderesse aurait fait l'objet de relances spécifiques ou de pressions de la part du DoJ. Deuxièmement, il n'a pas été retenu qu'une annulation de l'accord NPA aurait (risque subséquent) des répercussions sur l'ensemble de la place financière suisse ou qu'elle raviverait le conflit fiscal opposant les banques suisses aux autorités américaines. En l'occurrence, la banque ne démontre pas en quoi la cour précédente aurait établi les faits de manière arbitraire en retenant qu'elle n'avait apporté aucun élément permettant d'établir que la non-communication du nom du gestionnaire de fortune, qui s'occupait d'un seul compte susceptible d'être visé par le programme américain, serait de nature, en l'état actuel, à remettre en cause l'accord conclu et/ou à entraîner une inculpation de la banque. Par ailleurs, et cela est déterminant, elle ne démontre pas en quoi la cour cantonale aurait violé le droit en jugeant que la livraison des données n'était pas nécessaire en l'état actuel pour éviter une (nouvelle) intensification du litige fiscal avec les USA qui, de ce fait, affecterait la place financière suisse et porterait préjudice à la réputation de la Suisse en tant que partenaire de négociation fiable. A cela s'ajoute que si l'on en croit les allégations de la banque, toutes ces données ont déjà été remises aux autorités américaines au cours de la procédure de Voluntary disclosure . On ne voit donc pas ce qui aurait empêché le DoJ d'en prendre connaissance, le cas échéant, en sollicitant leur transmission au sein de l'administration américaine. C'est en vain que la banque soutient que cette (précédente) procédure volontaire aurait pour conséquence que le demandeur n'aurait aujourd'hui plus aucun intérêt à s'opposer à la communication (dans le cadre du programme mis sur pied par le DoJ) de données déjà remises aux autorités américaines. Au contraire, à l'heure actuelle et en l'espèce, le fait que ces données sont déjà en mains de l'administration américaine contribue plutôt à démontrer l'absence de nécessité de leur communication au DoJ. Le fait, allégué par la recourante, que le programme volontaire ( Program for Swiss banks ) et l'accord de non-poursuite ( Non-Prosecution Agreement [NPA]) ne prévoient pas que la banque serait dispensée de communiquer les données litigieuses si celles-ci ont déjà été transmises par la voie de la procédure de Voluntary disclosure , n'est à cet égard pas déterminant. Il demeure que, de fait, l'intérêt du DoJ à obtenir (par l'exécution de l'accord NPA) ces données est grandement réduit, voire supprimé, si celles-ci sont déjà en mains des autorités américaines. Cela étant, la livraison des données litigieuses par la banque dans le cadre du programme américain ne peut, en l'état actuel, être considérée comme indispensable au sens de l' art. 6 al. 2 let . d LPD. Faute de preuve d'un intérêt public actuel et concret de la banque à la transmission des données du demandeur, il n'y a pas lieu de le pondérer avec l'intérêt privé de celui-ci. Le grief se révèle donc mal fondé.</w:t>
      </w:r>
    </w:p>
    <w:p>
      <w:r>
        <w:rPr>
          <w:b/>
        </w:rPr>
        <w:t>E. 4</w:t>
      </w:r>
    </w:p>
    <w:p>
      <w:r>
        <w:t>Il résulte des considérations qui précèdent que le recours en matière civile doit être rejeté. Les frais judiciaires, arrêtés à 1'000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