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77/2009 vom 19. Mai 2009</w:t>
      </w:r>
    </w:p>
    <w:p>
      <w:r>
        <w:t>Bundesgericht, 2009-05-19, FR</w:t>
      </w:r>
    </w:p>
    <w:p>
      <w:r>
        <w:rPr>
          <w:b/>
        </w:rPr>
        <w:t xml:space="preserve">Quelle: </w:t>
      </w:r>
      <w:r>
        <w:t>https://mcp.opencaselaw.ch/entscheid/bger_4A_77_2009</w:t>
      </w:r>
    </w:p>
    <w:p>
      <w:r>
        <w:t>FR: TF 4A 77/2009 du 19 mai 2009</w:t>
      </w:r>
    </w:p>
    <w:p>
      <w:r>
        <w:t>IT: TF 4A 77/2009 del 19 maggio 2009</w:t>
      </w:r>
    </w:p>
    <w:p>
      <w:pPr>
        <w:pStyle w:val="Heading2"/>
      </w:pPr>
      <w:r>
        <w:t>Regeste</w:t>
      </w:r>
    </w:p>
    <w:p>
      <w:r>
        <w:t>procédure civile; récusation | Droit des sociétés</w:t>
      </w:r>
    </w:p>
    <w:p>
      <w:pPr>
        <w:pStyle w:val="Heading2"/>
      </w:pPr>
      <w:r>
        <w:t>Erwägungen</w:t>
      </w:r>
    </w:p>
    <w:p>
      <w:r>
        <w:rPr>
          <w:b/>
        </w:rPr>
        <w:t>E. 1</w:t>
      </w:r>
    </w:p>
    <w:p>
      <w:r>
        <w:t>L'arrêt de la Cour administrative est une décision incidente relative à une demande de récusation, aux termes de l' art. 92 al. 1 LTF ; il est susceptible de recours selon cette disposition. Pour le surplus, il s'agit d'une décision prise en matière civile ( art. 72 al. 1 LTF ), quant à l'objet du litige principal, et en dernière instance cantonale ( art. 75 al. 1 LTF ). L'auteur du recours est partie à l'instance et il a succombé dans ses conclusions concernant la récusation ( art. 76 al. 1 LTF ). La valeur litigieuse excède le minimum légal de 30'000 fr. ( art. 51 al. 1 let . c et 74 al. 1 let. b LTF). Introduit en temps utile ( art. 100 al. 1 LTF ) et dans les formes requises (art. 42 al. 1 à 3 LTF), le recours est en principe recevable.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133 II 249 consid. 1.4.1 p. 254), et il ne se prononce sur la violation de droits fondamentaux que s'il se trouve saisi d'un grief invoqué et motivé de façon détaillée ( art. 106 al. 2 LTF ; ATF 134 I 83 consid. 3.2 p. 88; 134 II 244 consid. 2.2 p. 246; 133 II 249 consid. 1.4.2). Il conduit son raisonnement juridique sur la base des faits constatés dans la décision attaquée ( art. 105 al. 1 LTF ). Le recours n'est pas recevable pour violation du droit cantonal, hormis les droits constitutionnels cantonaux ( art. 95 let . c LTF) et certaines dispositions sans pertinence en matière civile ( art. 95 let . d LTF).</w:t>
      </w:r>
    </w:p>
    <w:p>
      <w:r>
        <w:rPr>
          <w:b/>
        </w:rPr>
        <w:t>E. 2</w:t>
      </w:r>
    </w:p>
    <w:p>
      <w:r>
        <w:t>Le demandeur fait grief à la Commission administrative d'avoir violé les art. 30 al. 1 Cst. et 6 par. 1 CEDH.</w:t>
      </w:r>
    </w:p>
    <w:p>
      <w:r>
        <w:rPr>
          <w:b/>
        </w:rPr>
        <w:t>E. 2.1</w:t>
      </w:r>
    </w:p>
    <w:p>
      <w:r>
        <w:t>La garantie d'un tribunal indépendant et impartial, conférée par ces dispositions constitutionnelles, permet au plaideur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le sentiment intime du magistrat ne peut guère être prouvé; il suffit que les circonstances donnent l'apparence de la prévention et fassent redouter une activité partiale. Toutefois, seules des circonstances constatées objectivement doivent être prises en considération; les impressions purement individuelles de l'une des parties au procès ne sont pas décisives ( ATF 134 I 238 consid. 2.1 p. 240; 131 I 24 consid. 1.1 p. 25; 125 I 119 consid. 3a p. 122). En particulier, même lorsqu'elles sont établies, des erreurs de procédure ou d'appréciation commises par un juge ne suffisent pas à fonder objectivement un soupçon de partialité; seules des erreurs particulièrement lourdes ou répétées, qui doivent être considérés comme des violations graves des devoirs du magistrat, peuvent avoir cette conséquence. Les erreurs éventuellement commises doivent être constatées et redressées dans le cadre des procédures de recours prévues par la loi; il n'appartient pas au juge de la récusation d'examiner la conduite du procès à la façon d'un organe de surveillance ( ATF 116 Ia 135 consid. 3a p. 138; 114 Ia 153 consid. 3b/bb p. 158).</w:t>
      </w:r>
    </w:p>
    <w:p>
      <w:r>
        <w:rPr>
          <w:b/>
        </w:rPr>
        <w:t>E. 2.2</w:t>
      </w:r>
    </w:p>
    <w:p>
      <w:r>
        <w:t>En droit de procédure civile vaudois (art. 153 al. 1 à 3 CPC vaud.), la réforme est une procédure incidente destinée à permettre au plaideur, s'il le requiert et que le juge l'y autorise, à compléter ou à corriger ses moyens, à un stade du procès où, autrement, cela ne serait pas admis. En particulier, la réforme permet d'obtenir la restitution d'un délai (al. 1). La réforme n'est accordée que si le requérant y a un « intérêt réel » (al. 2); la loi précise que la requête de réforme doit être rejetée si elle est présentée dans le dessein de prolonger la procédure (al. 3).</w:t>
      </w:r>
    </w:p>
    <w:p>
      <w:r>
        <w:rPr>
          <w:b/>
        </w:rPr>
        <w:t>E. 2.3</w:t>
      </w:r>
    </w:p>
    <w:p>
      <w:r>
        <w:t>Dans son jugement incident du 24 novembre 2008, rejetant la requête de réforme du demandeur, le juge A.________ a reproduit le texte souscrit par ce dernier le 23 juillet 2002 et il l'a désigné par les mots « reconnaissance de dette ». Cette expression se justifie sans équivoque par le contexte de l'action en libération de dette, le Président du Tribunal d'arrondissement ayant jugé, précisément, que le document en cause constituait une reconnaissance de dette aux termes de l' art. 82 al. 1 LP . Contrairement aux affirmations développées devant le Tribunal fédéral, cette même expression ne révèle aucun parti pris du juge A.________ sur le point de savoir si - et c'est l'enjeu du procès - le demandeur est réellement débiteur de la somme indiquée dans le document. Dans ce même jugement, le juge A.________ discute en détail les allégués supplémentaires que le demandeur prétendait introduire. Il constate que, pour la plupart, les faits ainsi articulés sont déjà allégués par l'une ou l'autre des parties, ou qu'ils ne seraient concluants que si d'autres faits encore étaient aussi allégués et prouvés. Le juge met en évidence certaines incohérences dans les faits et il met en doute la force probante ou la pertinence de certaines des pièces qui seraient produites. Il effectue l'appréciation anticipée de ces éléments et il parvient à la conclusion que la réforme est « privée d'intérêt réel ». Il relève encore divers indices le conduisant à ajouter que la requête est présentée « à des fins dilatoires ». En tous points, le jugement est soigneusement motivé. A première vue, la discussion repose sur des considérations objectives et elle s'inscrit dans l'examen que l' art. 153 CPC vaud. attribue au juge de la réforme. Dans ces conditions, le rejet de la requête ne dénote, non plus, ni un parti pris hostile au demandeur, ni une opinion déjà acquise quant au sort de l'action en libération de dette. Aux fins de statuer sur la demande de récusation, la Cour administrative et, sur recours, le Tribunal fédéral n'ont pas à effectuer un contrôle plus approfondi du jugement incident; il importe peu, à ce sujet, que ce prononcé ne soit susceptible d'aucun recours avant le jugement final que rendra la Cour civile.</w:t>
      </w:r>
    </w:p>
    <w:p>
      <w:r>
        <w:rPr>
          <w:b/>
        </w:rPr>
        <w:t>E. 3</w:t>
      </w:r>
    </w:p>
    <w:p>
      <w:r>
        <w:t>Le demandeur mentionne les art. 42 et suivants CPC vaud. qui concernent la récusation des juges. Le recours au Tribunal fédéral n'est cependant pas recevable pour violation de ces dispositions cantonales, et, de toute manière, il ne semble pas qu'elles confèrent au justiciable une protection plus étendue que celle assurée par les art. 30 al. 1 Cst. et 6 par. 1 CEDH.</w:t>
      </w:r>
    </w:p>
    <w:p>
      <w:r>
        <w:rPr>
          <w:b/>
        </w:rPr>
        <w:t>E. 4</w:t>
      </w:r>
    </w:p>
    <w:p>
      <w:r>
        <w:t>Le recours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