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77/2007 vom 10. Juli 2007</w:t>
      </w:r>
    </w:p>
    <w:p>
      <w:r>
        <w:t>Bundesgericht, 2007-07-10, FR</w:t>
      </w:r>
    </w:p>
    <w:p>
      <w:r>
        <w:rPr>
          <w:b/>
        </w:rPr>
        <w:t xml:space="preserve">Quelle: </w:t>
      </w:r>
      <w:r>
        <w:t>https://mcp.opencaselaw.ch/entscheid/bger_4A_77_2007</w:t>
      </w:r>
    </w:p>
    <w:p>
      <w:r>
        <w:t>FR: TF 4A 77/2007 du 10 juillet 2007</w:t>
      </w:r>
    </w:p>
    <w:p>
      <w:r>
        <w:t>IT: TF 4A 77/2007 del 10 luglio 2007</w:t>
      </w:r>
    </w:p>
    <w:p>
      <w:pPr>
        <w:pStyle w:val="Heading2"/>
      </w:pPr>
      <w:r>
        <w:t>Regeste</w:t>
      </w:r>
    </w:p>
    <w:p>
      <w:r>
        <w:t>contrat de travail; discrimination salariale | Droit des contrats</w:t>
      </w:r>
    </w:p>
    <w:p>
      <w:pPr>
        <w:pStyle w:val="Heading2"/>
      </w:pPr>
      <w:r>
        <w:t>Erwägungen</w:t>
      </w:r>
    </w:p>
    <w:p>
      <w:r>
        <w:rPr>
          <w:b/>
        </w:rPr>
        <w:t>E. 1</w:t>
      </w:r>
    </w:p>
    <w:p>
      <w:r>
        <w:t>L'arrêt attaqué a été rendu après l'entrée en vigueur, le 1er janvier 2007, de la loi fédérale sur le Tribunal fédéral du 17 juin 2005 (LTF; RS 173.110), de sorte que le présent recours est soumis au nouveau droit ( art. 132 al. 1 LTF ).</w:t>
      </w:r>
    </w:p>
    <w:p>
      <w:r>
        <w:rPr>
          <w:b/>
        </w:rPr>
        <w:t>E. 2.1</w:t>
      </w:r>
    </w:p>
    <w:p>
      <w:r>
        <w:t>Formé par la partie qui a succombé dans ses conclusions condamnatoires ( art. 76 al. 1 LTF ) et dirigé contre un arrêt final ( art. 90 LTF ) rendu en matière civile ( art. 72 al. 1 LTF ) par une autorité cantonale de dernière instance ( art. 75 LTF ) dans une affaire pécuniaire dont la valeur litigieuse dépasse largement le seuil de 15'000 fr. applicable en matière de droit du travail ( art. 74 al. 1 let. a LTF ), le recours en matière civile est en principe recevable, puisqu'il a été déposé dans le délai ( art. 100 al. 1 LTF ) et la forme ( art. 42 LTF ) prévus par la loi.</w:t>
      </w:r>
    </w:p>
    <w:p>
      <w:r>
        <w:rPr>
          <w:b/>
        </w:rPr>
        <w:t>E. 2.2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rPr>
          <w:b/>
        </w:rPr>
        <w:t>E. 2.4</w:t>
      </w:r>
    </w:p>
    <w:p>
      <w:r>
        <w:t>Le Tribunal fédéral ne peut aller au-delà des conclusions des parties ( art. 107 al. 1 LTF ). Toute conclusion nouvelle est irrecevable ( art. 99 al. 2 LTF ). En l'espèce, la recourante n'a pris que des conclusions cassatoires. Celles-ci sont néanmoins recevables, car si le Tribunal fédéral devait admettre le recours, il ne serait pas à même de statuer lui-même sur le fond, à défaut de constatations non arbitraires à propos de l'équivalence entre les tâches accomplies par la demanderesse et celles qui étaient dévolues à C.________ et à D.________ ( ATF 130 III 136 consid. 1.2; Bernard Corboz, Introduction à la nouvelle loi sur le Tribunal fédéral, in SJ 2006 II p. 319 ss, spéc. p. 329/330).</w:t>
      </w:r>
    </w:p>
    <w:p>
      <w:r>
        <w:rPr>
          <w:b/>
        </w:rPr>
        <w:t>E. 3</w:t>
      </w:r>
    </w:p>
    <w:p>
      <w:r>
        <w:t>Dans l'arrêt attaqué, la cour cantonale a tout d'abord rappelé qu'une discrimination de nature sexiste peut résulter de la comparaison du salaire d'une personne déterminée avec les traitements accordés par le même employeur à des personnes du sexe opposé. Concernant l'expertise judiciaire qu'elle a ordonnée, elle a jugé qu'elle n'avait pas à reformuler la mission de l'expert, laquelle n'avait pas été mise en cause par les plaideurs à réception de l'ordonnance d'expertise. Quant au travail effectué par l'experte que la demanderesse a sévèrement critiqué, l'autorité cantonale a concédé que le rapport recelait quelques maladresses, rectifiées par M.________ au cours de son audition du 14 septembre 2006. La Cour d'appel a néanmoins estimé que la prénommée avait parfaitement saisi en quoi consistaient les tâches qu'elle devait comparer, c'est-à-dire celles de la travailleuse et de ses deux ex-collègues masculins nommés C.________ et D.________. Se fondant tant sur les témoignages recueillis que sur le résultat de l'expertise, les magistrats genevois ont considéré qu'il n'y avait aucune équivalence entre les fonctions qu'avaient exercées les trois personnes précitées. Tandis que la demanderesse était chargée, en agence, de tâches techniques, C.________ et D.________ s'étaient vu confier, au siège, des activités à responsabilité. Pour ces motifs, ces magistrats ont admis, en adoptant les conclusions de l'expertise, qu'il ne se justifiait pas de confronter le salaire de X.________ avec ceux encaissés par C.________ et D.________. Enfin, la cour cantonale s'est fondée sur les rémunérations touchées par cinq employées des défenderesses en 2001 pour affirmer que les différences de salaire - à son avis justifiées -, qui avaient existé entre la demanderesse d'une part, C.________ et D.________ d'autre part, ne prêtaient nullement le flanc à une quelconque critique, car elles reposaient en fait sur la marge de décision dont dispose l'employeur dans la fixation des rémunérations de ses salariés.</w:t>
      </w:r>
    </w:p>
    <w:p>
      <w:r>
        <w:rPr>
          <w:b/>
        </w:rPr>
        <w:t>E. 4.1</w:t>
      </w:r>
    </w:p>
    <w:p>
      <w:r>
        <w:t>Au chiffre V/c de son recours en matière civile, la recourante invoque, en rapport avec l'expertise, une violation de son droit d'être entendue consacré par l' art. 29 al. 2 Cst. , ainsi qu'une violation de l'interdiction de l'arbitraire au sens de l' art. 9 Cst. A propos du grief fondé sur l' art. 29 al. 2 Cst. , la recourante souligne que la méthode d'analyse suivie par l'experte se fonde quasi exclusivement sur les déclarations recueillies par celle-ci et ses assistantes auprès des employés des défenderesses, lesquels avaient déjà été entendus par le juge au cours de la procédure. Elle prétend que le respect de son droit d'être entendue commandait qu'elle puisse connaître les auteurs des déclarations retenues par l'experte, le contenu de celles-ci et l'appréciation qu'en a faite la psychologue au regard des autres éléments de la procédure, en particulier les dépositions recueillies par les premiers juges. La recourante expose que l'experte a ouvert une nouvelle procédure sans participation des parties, qui n'ont pu examiner les contradictions avec les autres moyens de preuve administrés, ce qui porte une atteinte caractérisée au principe constitutionnel ancré à l' art. 29 al. 2 Cst. En ce qui concerne le grief d'appréciation arbitraire des preuves, la recourante soutient que l'expertise judiciaire est entachée de défauts si clairs que la Cour d'appel ne pouvait la prendre en considération. Ainsi, lorsqu'elle a comparé les tâches menées par la demanderesse, C.________ et D.________, elle a indiqué que ce dernier travaillait au service de taxation. Cette affirmation serait contredite par la liste des employés des intimées et le mémoire de réponse de ces dernières. Sur la base de cette prémisse erronée, l'experte aurait retenu, contrairement à la vérité, que le travail effectué par D.________ présentait des enjeux importants pour les défenderesses. Pour ce qui est de C.________, la recourante allègue, en se référant à de nombreux témoignages et aux avenants du contrat de l'intéressé, qu'il n'avait pas de fonction d'encadrement, mais faisait en réalité le même travail que les autres employés du service contentieux. De plus, l'employé précité n'avait pas de tâches à responsabilité particulière. S'il s'occupait de mainlevées d'opposition, à l'instar de plusieurs autres collègues, il s'adressait à deux femmes juristes dès qu'il y avait lieu de procéder à des démarches juridiques un peu compliquées. La demanderesse est d'avis que l'expertise est également trompeuse sur la question du niveau de difficulté et de responsabilité qui était lié aux fonctions exercées par C.________. La recourante en déduit que la valeur respective des travaux menés par elle et ses deux ex-collègues masculins n'a pas été établie de manière fiable, de sorte qu'en se fondant sur une telle expertise, la Cour d'appel a fait montre d'arbitraire.</w:t>
      </w:r>
    </w:p>
    <w:p>
      <w:r>
        <w:rPr>
          <w:b/>
        </w:rPr>
        <w:t>E. 4.2.1</w:t>
      </w:r>
    </w:p>
    <w:p>
      <w:r>
        <w:t>Il est communément admis que l'expert doit présenter son rapport de manière à ce qu'il puisse être compris. Autrement dit, le rapport doit être complet, compréhensible et convaincant (arrêt 4P.172/2003 du 6 janvier 2004, consid. 2.7; Roland Hürlimann, Der Experte - Schlüsselfigur des Bauprozesses, in: in Sachen Baurecht, zum 50. Geburtstag von Peter Gauch, p. 145/146; Björn Bettex, L'expertise judiciaire, thèse Lausanne 2006, p. 176). Il résulte de ce principe général que lorsque l'expert se fonde sur des déclarations, il doit préciser de qui elles émanent et quels éléments il tient pour déterminants. Il suffit cependant que l'expert donne un résumé des propos importants qu'il a recueillis. Les plaideurs doivent en effet être à même de requérir l'audition par le juge des personnes entendues par l'expert ou leur récolement, à supposer que des incertitudes émanent desdites déclarations (arrêt 4P.172/2003 ibidem, approuvé dans son contenu par Christof Leuenberger, ZBJV 142/2006, p. 34; Frank/Sträuli/Messmer, Kommentar zur zürcherischen Zivilprozessordnung, 3e éd., n. 3 ad § 176 ZPO/ZH). Cette exigence résulte du droit d'être entendu découlant de l' art. 29 al. 2 Cst. , compris comme le droit de participer à l'administration des preuves, d'en prendre connaissance et de se déterminer à leurs propos ( ATF 129 II 497 consid. 2.2)</w:t>
      </w:r>
    </w:p>
    <w:p>
      <w:r>
        <w:rPr>
          <w:b/>
        </w:rPr>
        <w:t>E. 4.2.2</w:t>
      </w:r>
    </w:p>
    <w:p>
      <w:r>
        <w:t>En l'occurrence, l'experte a écrit dans son rapport que pour mieux comprendre les différentes tâches accomplies par la demanderesse, C.________ et D.________, elle a réalisé treize entretiens avec divers collaborateurs des défenderesses (cf. p. 2/3 et p. 6 in fine du rapport d'avril 2006). Elle a ainsi entendu la recourante et les deux prénommés, cinq "autres employés", quatre responsables et, apparemment ensemble, deux employés des ressources humaines. On ne trouve pas trace dans le rapport d'expertise du moindre résumé de ces différentes déclarations. Interrogée à ce propos lors de son audition du 14 septembre 2006 devant la Cour d'appel, l'experte a déclaré, si on la comprend bien, qu'elle n'avait pas voulu rattacher à des personnes déterminées les déclarations effectuées "afin de respecter la confidentialité" (cf. procès-verbal de l'audition de l'experte, p. 3). Il appert que la plupart de ces personnes avaient été entendues précédemment comme témoins par le Tribunal des prud'hommes (cf. procès-verbal de l'audition de l'experte, p. 2 in initio). Partant, on peut très sérieusement se demander si la manière de procéder de l'experte, qui a eu pour résultat de priver la demanderesse de soulever les éventuelles contradictions pouvant survenir entre les dires qu'une même personne a articulés devant le juge et devant la psychologue, ne constitue pas une entorse au droit d'être entendue de la recourante (cf. arrêt 4P.172/2003 précité, consid. 2.7 in fine). Mais la question souffre de rester indécise, dès lors que le recours doit être de toute façon admis pour un autre motif.</w:t>
      </w:r>
    </w:p>
    <w:p>
      <w:r>
        <w:rPr>
          <w:b/>
        </w:rPr>
        <w:t>E. 4.3.1</w:t>
      </w:r>
    </w:p>
    <w:p>
      <w:r>
        <w:t>La jurisprudence reconnaît au juge un large pouvoir d'appréciation dans la constatation des faits et leur appréciation, lequel trouve toutefois sa limite dans l'interdiction de l'arbitraire ( ATF 127 I 38 consid. 2a p. 41; 124 IV 86 consid. 2a p. 88; 120 Ia 31 consid. 2a p. 38). Le Tribunal fédéral n'intervient en conséquence pour violation de l' art. 9 Cst. que si le juge a abusé de ce pouvoir, en particulier lorsqu'il a admis ou nié un fait pertinent en se mettant en contradiction évidente avec les pièces et éléments du dossier, lorsqu'il a méconnu des preuves pertinentes ou qu'il n'en a arbitrairement pas tenu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Concernant plus particulièrement l'appréciation du résultat d'une expertise, le juge n'est en principe pas lié par le rapport de l'expert, qu'il doit apprécier en tenant compte de l'ensemble des autres preuves administrées (Fabienne Hohl, Procédure civile, tome I, ch. 1113, p. 214; Frank/Sträuli/Messmer, op. cit., n. 5 ad § 181 ZPO/ZH).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57/58; 128 I 81 consid. 2 p. 86; 122 V 157 consid. 1c p. 160).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 ATF 110 Ib 52 consid. 2 p. 56; 101 Ib 405 consid. 3b/aa p. 408; 101 IV 129 consid.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118 Ia 144 consid. 1c p. 146).</w:t>
      </w:r>
    </w:p>
    <w:p>
      <w:r>
        <w:rPr>
          <w:b/>
        </w:rPr>
        <w:t>E. 4.3.2.1</w:t>
      </w:r>
    </w:p>
    <w:p>
      <w:r>
        <w:t>A la page 3 de son rapport, l'experte M.________ a indiqué que D.________ était employé par les défenderesses "au service de la taxation". Il résulte pourtant clairement d'une liste des numéros de téléphone internes des collaborateurs engagés par les défenderesses (cf. pièce 50 du chargé de la demanderesse du 26 août 2004) que D.________ fait partie du service "PME VCProd", et nullement du service "PRI-Taxation", pour lequel officient trois personnes, à savoir F.________ G.________ et H.________. Cette constatation est corroborée par deux pièces produites par les défenderesses elles-mêmes, à savoir la pièce 30, qui est le contrat de travail de D.________, et la pièce 40, qui relate l'évolution des fonctions et statuts de sept collaborateurs des intimées - dont D.________ - entre les années 1997 et 2001. Dans leur mémoire de réponse du 26 février 2003, à la page 17, les défenderesses ont encore précisé que D.________ travaillait au siège comme "adjoint au responsable de la prévoyance professionnelle", ce qui n'a rien à voir avec le service de taxation, dont les employés font une estimation des risques encourus par la compagnie d'assurance, comme l'a affirmé le 19 novembre 2003 le témoin I.________, responsable du département des indépendants en 2001/2002. Il apparaît que cette constatation erronée a vicié l'ensemble du rapport d'expertise. Ainsi, l'experte en a inféré, à la page 8 in medio de son rapport, que les tâches de la demanderesse, qualifiées d'administratives, n'étaient pas de même nature que celles accomplies par D.________, qui, elles, avaient trait à "l'appréciation du risque". Sur sa lancée, l'experte a déclaré (cf. p. 8 in fine) que D.________, du fait de son supposé rattachement au service de la taxation, devait avoir des connaissances bancaires, contrairement à X.________. Enfin, M.________ a estimé, à la page 10 ch. 3.4 du rapport, que le niveau de responsabilité de D.________ était plus élevé que celui de la demanderesse, car le premier, au service de la taxation, traitait "des enjeux financiers importants pour l'entreprise". Il suit de là que le rapport d'expertise est entaché de défauts évidents s'agissant de la comparaison des tâches qui y est opérée entre la demanderesse et D.________.</w:t>
      </w:r>
    </w:p>
    <w:p>
      <w:r>
        <w:rPr>
          <w:b/>
        </w:rPr>
        <w:t>E. 4.3.2.2</w:t>
      </w:r>
    </w:p>
    <w:p>
      <w:r>
        <w:t>Selon le rapport de l'experte, le travail de C.________ au service du contentieux exigeait des "connaissances juridiques pointues" (cf. p. 8 du rapport d'expertise, ch. 3.2). En outre, il prenait, contrairement à la demanderesse, des décisions ayant un enjeu financier important pour les intimées; et l'experte de dire que sont tout particulièrement significatives à cet égard "les mains levées d'opposition (sic)" (cf. p. 10 in fine de son rapport). De plus, l'experte, lors de son audition, a décrit C.________ comme un "cadre compétent" (cf. procès-verbal d'audition du 14 septembre 2006, p. 2, 2e partie). Entendu le 3 septembre 2003 par le Tribunal des prud'hommes, J.________, responsables des agences des défenderesses pour la Suisse romande et le Tessin de 1998 à 2001, a affirmé (cf. p. 4 dudit procès-verbal d'audience) que C.________, à l'époque déterminante, n'avait plus la fonction ni les responsabilités d'un cadre, même s'il avait gardé ce titre comme un acquis. Cette déposition est confirmée par deux avenants au contrat de travail de C.________ des 4 avril 1997 et 30 mars 2000, qui décrivent la fonction du prénommé le premier comme "Assistant du responsable du recouvrement", le second comme "Gestionnaire contentieux". Trois employées du service du contentieux qui ont travaillé avec C.________ (i.e. K.________, L.________ et R.________) ont déclaré de concert qu'elles faisaient au sein de ce service le même travail que le précité, quand bien même seule L.________ avait le titre de cadre (cf. procès-verbal du 14 mai 2003, p. 2, 5 et 7). Partant, présenter C.________ comme un cadre compétent, ainsi que l'a fait l'experte, alors qu'il exerce la même fonction que les autres membres du service contentieux, est trompeur, puisque ce titre - que n'a pas la demanderesse- est en réalité dénué de toute fonction de direction. A cela s'ajoute que l'expérience judiciaire enseigne qu'il n'est nul besoin d'avoir des connaissances juridiques étendues pour s'occuper de mainlevées d'opposition, lesquelles sont soumises à la procédure sommaire ( art. 25 ch. 2 LP ). A ce sujet, N.________, qui avait un poste de juriste auprès des défenderesses, a exposé que l'ensemble des personnes du service contentieux étaient habilitées à s'occuper des mainlevées et qu'il y avait des "masques", c'est-à-dire des modèles préétablis, pour rédiger les requêtes. Cette juriste a enfin affirmé que C.________ s'adressait à elle pour toutes questions ayant trait à l'application du droit. On voit donc nettement que les tâches accomplies par C.________ ont été surestimées par l'experte, ce qui rend douteuses les conclusions qu'elle a tirées à propos de la valeur du travail de cet employé comparée à celle des tâches réalisées pour les défenderesses par la demanderesse.</w:t>
      </w:r>
    </w:p>
    <w:p>
      <w:r>
        <w:rPr>
          <w:b/>
        </w:rPr>
        <w:t>E. 4.4</w:t>
      </w:r>
    </w:p>
    <w:p>
      <w:r>
        <w:t>Au vu de ces considérations, la cour cantonale a versé dans l'arbitraire en suivant les conclusions d'une telle expertise. Il suit de là que le recours en matière civile doit être admis, l'arrêt critiqué étant annulé. Ce résultat dispense la juridiction fédérale d'examiner les autres critiques de la recourante prises d'une violation des art. 3 et 12 LEg . Conformément à l' art. 107 al. 2 LTF , le Tribunal fédéral renvoie l'affaire à l'autorité précédente pour qu'elle ordonne une nouvelle expertise - laquelle a été sollicitée par la recourante en instance d'appel - qui devra permettre de déterminer, au moyen d'une méthode analytique, les valeurs respectives des tâches accomplies entre 1997 et 2002 auprès des défenderesses respectivement par la demanderesse, D.________ et C.________.</w:t>
      </w:r>
    </w:p>
    <w:p>
      <w:r>
        <w:rPr>
          <w:b/>
        </w:rPr>
        <w:t>E. 5</w:t>
      </w:r>
    </w:p>
    <w:p>
      <w:r>
        <w:t>Les frais judiciaires, calculés par application de l' art. 65 al. 4 let. b LTF , seront mis solidairement à la charge des intimées, qui succombent ( art. 66 al. 1 LTF ). Ces dernières verseront encore solidairement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