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4A_76/2021 vom 1. April 2021</w:t>
      </w:r>
    </w:p>
    <w:p>
      <w:r>
        <w:t>Bundesgericht, 2021-04-01, DE</w:t>
      </w:r>
    </w:p>
    <w:p>
      <w:r>
        <w:rPr>
          <w:b/>
        </w:rPr>
        <w:t xml:space="preserve">Quelle: </w:t>
      </w:r>
      <w:r>
        <w:t>https://mcp.opencaselaw.ch/entscheid/bger_4A_76_2021</w:t>
      </w:r>
    </w:p>
    <w:p>
      <w:r>
        <w:t>FR: TF 4A_76/2021 du 1 avril 2021</w:t>
      </w:r>
    </w:p>
    <w:p>
      <w:r>
        <w:t>IT: TF 4A_76/2021 del 1 aprile 2021</w:t>
      </w:r>
    </w:p>
    <w:p>
      <w:pPr>
        <w:pStyle w:val="Heading2"/>
      </w:pPr>
      <w:r>
        <w:t>Erwägungen</w:t>
      </w:r>
    </w:p>
    <w:p>
      <w:r>
        <w:rPr>
          <w:b/>
        </w:rPr>
        <w:t>E. 1.1</w:t>
      </w:r>
    </w:p>
    <w:p>
      <w:r>
        <w:t>Mit der angefochtenen Dispositiv-Ziffer 2a hat das Obergericht definitiv über die eigenständige Frage entschieden, ob die Beschwerdegegner Anspruch auf Verpachtung der betreffenden Parzellen haben (exklusiv der Frage, ob das Gebäude Assek. Nr. zzz [Remise] auf Parzelle Nr. ttt zur Pacht gehört). Diese Dispositiv-Ziffer stellt einen Teilentscheid dar ( Art. 91 BGG ) und ist als solcher selbständig anfechtbar (vgl. BGE 135 V 141 E. 1.4.7). Da diesbezüglich auch die übrigen Sachurteilsvoraussetzungen erfüllt sind, ist - unter Vorbehalt einer hinreichenden Begründung ( Art. 42 Abs. 2 und Art. 106 Abs. 2 BGG ) - insoweit auf die Beschwerde einzutreten.</w:t>
      </w:r>
    </w:p>
    <w:p>
      <w:r>
        <w:rPr>
          <w:b/>
        </w:rPr>
        <w:t>E. 1.2</w:t>
      </w:r>
    </w:p>
    <w:p>
      <w:r>
        <w:t>Die im Weiteren angefochtene Dispositiv-Ziffer 2b des vorinstanzlichen Urteils betreffend die Remise (Assek. Nr. zzz auf Parz. ttt) stellt einen Rückweisungsentscheid dar, der als Zwischenentscheid nur unter den Voraussetzungen von Art. 93 Abs. 1 BGG angefochten werden kann ( BGE 144 III 253 E. 1.3). Die Beschwerdeführer legen nicht dar, inwiefern vorliegend diese Voraussetzungen erfüllt sein sollen, und Entsprechendes springt auch nicht ins Auge. Insoweit kann nicht auf die Beschwerde eingetreten werden.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144 V 173 E. 3.2.2;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Beschwerdeführer verfehlen diese Begründungsanforderungen über weite Strecken. Unbeachtlich ist von vornherein der Verweis auf die Ausführungen vor der Vorinstanz. Aber auch den grundsätzlich beachtlichen Ausführungen in der Beschwerde selbst ist kaum zu entnehmen, welche Bundesrechtsverletzung die Beschwerdeführer der Vorinstanz in konkreter Auseinandersetzung mit deren Erwägungen vorwerfen. Die weitgehend frei gehaltenen Darlegungen vermischen Tatsächliches und Rechtliches und weichen dabei verschiedentlich von den Feststellungen im angefochtenen Urteil ab, ohne rechtsgenüglich begründete Sachverhaltsrügen zu präsentieren. Darauf kann nicht abgestellt werden. Vielmehr ist ausschliesslich vom verbindlich festgestellten Sachverhalt der Vorinstanz auszugehen. Nachstehende Beurteilung beschränkt sich dementsprechend auf die Vorbringen, soweit sie verstanden werden können.</w:t>
      </w:r>
    </w:p>
    <w:p>
      <w:r>
        <w:rPr>
          <w:b/>
        </w:rPr>
        <w:t>E. 3</w:t>
      </w:r>
    </w:p>
    <w:p>
      <w:r>
        <w:t>Mit ihrer Klage begehrten die Beschwerdegegner zur Hauptsache die Verpachtung der betreffenden landwirtschaftlichen Grundstücke, wobei sie sich auf Ziffer 2 des BZG-Vertrags stützten. Während das Bezirksgericht den an sich anerkannten Anspruch auf Abschluss eines Pachtverhältnisses wegen missbräuchlicher, da verzögerter Geltendmachung ablehnte, bejahte die Vorinstanz einen solchen Anspruch. Dagegen wehren sich die Beschwerdeführer.</w:t>
      </w:r>
    </w:p>
    <w:p>
      <w:r>
        <w:rPr>
          <w:b/>
        </w:rPr>
        <w:t>E. 3.1</w:t>
      </w:r>
    </w:p>
    <w:p>
      <w:r>
        <w:t>Ziffer 2 letzter Absatz des BZG-Vertrags lautet: "Beim Austritt der Partner 1 aus der Betriebszweig- und Tierhaltegemeinschaft (in Folge Pension etc.) erhält Partner 2 das Vorrecht, den Betrieb als Pächter weiterzuführen". Die Vorinstanz übernahm die - mangels tatsächlicher Willensübereinstimmung - objektivierte Auslegung des Bezirksgerichts von Ziffer 2 des BZG-Vertrags, dass darin den Beschwerdegegnern ein durch den Austritt der Beschwerdeführer suspensiv bedingtes Optionsrecht auf die Pacht eingeräumt worden sei. Sie teilte ferner die Feststellung, dass die Beschwerdegegner mit dem Verkauf der Viehhabe am 15. August 2012 aus der Betriebszweiggemeinschaft ausgetreten seien. Die Bedingung für das Optionsrecht war demnach im Jahre 2012 eingetreten. Dennoch vermochte das Obergericht nach eingehender Prüfung keine rechtsmissbräuchliche verzögerte Geltendmachung des Optionsrechts zu erkennen. Entsprechend hiess es das Hauptbegehren gut und verpflichtete die Beschwerdeführer, den Beschwerdegegnern die betreffenden Grundstücke zu verpachten. Dabei hielt es fest, dass mit dem Schutz der Berufung hinsichtlich der Pacht der bisher gemietete Milchviehstall von der Pacht mitumfasst sei.</w:t>
      </w:r>
    </w:p>
    <w:p>
      <w:r>
        <w:rPr>
          <w:b/>
        </w:rPr>
        <w:t>E. 3.2</w:t>
      </w:r>
    </w:p>
    <w:p>
      <w:r>
        <w:t>Was die Beschwerdeführer dagegen vorbringen, verfängt nicht:</w:t>
      </w:r>
    </w:p>
    <w:p>
      <w:r>
        <w:rPr>
          <w:b/>
        </w:rPr>
        <w:t>E. 3.2.1</w:t>
      </w:r>
    </w:p>
    <w:p>
      <w:r>
        <w:t>Sie erachten es als willkürlich, dass die Vorinstanz das Optionsrecht der Beschwerdegegner bejahe, obwohl dieses bereits vor Jahren thematisiert worden sei, und dennoch keine missbräuchliche Rechtsausübung erkenne. Eine nachvollziehbare Begründung dieses Standpunkts lässt sich der Beschwerde nicht entnehmen. Es wird zwar eine verzögerte Rechtsausübung plädiert und die Verneinung einer missbräuchlichen Rechtsausübung als "willkürliche Beweiswürdigung" moniert. Inwiefern aber die Vorinstanz mit ihren diesbezüglichen, einlässlich und überzeugend begründeten Erwägungen Recht verletzt haben soll, wird nicht dargelegt. Das Bundesgericht hat daher keinen Anhaltspunkt, anders als die Vorinstanz eine missbräuchliche Wahrnehmung des Optionsrechts anzunehmen.</w:t>
      </w:r>
    </w:p>
    <w:p>
      <w:r>
        <w:rPr>
          <w:b/>
        </w:rPr>
        <w:t>E. 3.2.2</w:t>
      </w:r>
    </w:p>
    <w:p>
      <w:r>
        <w:t>In Rz. 17 der Beschwerde werfen die Beschwerdeführer der Vorinstanz vor, widersprüchlich zu entscheiden, indem sie einerseits festgestellt habe, dass der BZG-Vertrag von keiner Partei gekündigt worden sei, andererseits aber einen Anspruch auf Verpachtung bejahe. Zudem sei die Beweiswürdigung auch hinsichtlich der Kündigungsfrist des bisherigen Mietverhältnisses willkürlich. Die Vorinstanz übergehe die gesetzlichen (Kündigungs-) Mindestfristen, die zwischen den Parteien vertraglich noch verlängert worden seien, um das bestehende Mietverhältnis in ein Pachtverhältnis umzugestalten. Der Vorinstanz fehle die gesetzliche Grundlage für eine solche Umgestaltung.</w:t>
      </w:r>
    </w:p>
    <w:p>
      <w:r>
        <w:t>Diese Kritik ist nicht zielführend. Sie geht an der entscheidenden und zutreffenden Erwägung der Vorinstanz vorbei, dass zu unterscheiden ist zwischen der Betriebszweiggemeinschaft einerseits, die öffentlich-rechtlich anerkannt werden muss und vom Landwirtschaftsamt per 30. April 2013 aufgehoben worden ist, und dem BZG-Vertrag andererseits. Für die hier strittige Frage des Anspruchs auf Verpachtung ist der BZG-Vertrag einschlägig. Dieser Vertrag ist nach der verbindlichen Feststellung der Vorinstanz nicht gekündigt. Die von der Vorinstanz ausgesprochene Verpflichtung zur Verpachtung stützt sich somit rechtmässig auf Ziffer 2 des BZG-Vertrags. Unbestritten ist ferner der Eintritt der Suspensivbedingung, mithin der Austritt der Beschwerdeführer aus der Betriebszweiggemeinschaft im Jahre 2012. Es ist weder nachvollziehbar begründet noch ersichtlich, dass die Kündigungsfristen für das bisher als Miete anerkannte Verhältnis betreffend den Milchviehstall dem Pachtanspruch gemäss Ziffer 2 des BZG-Vertrags entgegenstehen oder diesen zeitlich limitieren sollen. Eine solche Verbindung zwischen Mietverhältnis und Optionsrecht auf Verpachtung kann dem hier massgebenden BZG-Vertrag nicht entnommen werden.</w:t>
      </w:r>
    </w:p>
    <w:p>
      <w:r>
        <w:rPr>
          <w:b/>
        </w:rPr>
        <w:t>E. 3.2.3</w:t>
      </w:r>
    </w:p>
    <w:p>
      <w:r>
        <w:t>Schliesslich scheinen die Beschwerdeführer geltend machen zu wollen, die fraglichen Grundstücke seien bereits von einem Pachtverhältnis zwischen ihnen und Dritten belegt. Zudem überlegten sie eine familiäre Nachfolgelösung zur Selbstbewirtschaftung. Die Vorinstanz urteile gesetzeswidrig, wenn sie die Unterverpachtung an die Beschwerdegegner anordne.</w:t>
      </w:r>
    </w:p>
    <w:p>
      <w:r>
        <w:t>Die Beschwerdegegner weisen diese Argumentation in der Beschwerdeantwort als neu und unzutreffend zurück. Die mit der Beschwerde neu eingereichten Dokumente seien unzulässige Noven und belegten ohnehin den Bestand anderer Pachtverhältnisse nicht. Die Beschwerdeführer widerlegen diesen Einwand in der Replik nicht. Im vorinstanzlichen Urteil findet sich diese Thematik nicht. Die auf neue Tatsachenbehauptungen und neue Beweismittel gestützten Vorbringen der Beschwerdeführer erweisen sich damit als unzulässig ( Art. 99 Abs. 1 BGG ), weshalb darauf nicht weiter einzugehen ist.</w:t>
      </w:r>
    </w:p>
    <w:p>
      <w:r>
        <w:rPr>
          <w:b/>
        </w:rPr>
        <w:t>E. 3.3</w:t>
      </w:r>
    </w:p>
    <w:p>
      <w:r>
        <w:t>Demgemäss bleibt es bei der von der Vorinstanz mit der angefochtenen Dispositiv-Ziffer 2a angeordneten Verpflichtung zum Abschluss eines Pachtverhältnisses über die betreffenden Parzellen. Genau dies haben die Beschwerdegegner in ihrem Hauptantrag anbegehrt, weshalb auch der Vorwurf der Beschwerdeführer nicht zutrifft, die Vorinstanz sei über die Begehren hinausgegangen.</w:t>
      </w:r>
    </w:p>
    <w:p>
      <w:r>
        <w:rPr>
          <w:b/>
        </w:rPr>
        <w:t>E. 4</w:t>
      </w:r>
    </w:p>
    <w:p>
      <w:r>
        <w:t>Damit wird das Rechtsbegehren 2 der Beschwerdeführer obsolet, mit dem sie (für den Fall der Verneinung eines Pachtanspruchs) die Feststellung verlangen, was zum Mietobjekt gehört.</w:t>
      </w:r>
    </w:p>
    <w:p>
      <w:r>
        <w:t>Das Eventualbegehren 3, wonach die Beschwerdegegner frühestens auf 1. Mai 2023 das vertragliche Optionsrecht auf Verpachtung geltend machen könnten, wird in der Beschwerde bloss angesprochen, aber nicht schlüssig begründet, weshalb darauf nicht einzutreten ist.</w:t>
      </w:r>
    </w:p>
    <w:p>
      <w:r>
        <w:rPr>
          <w:b/>
        </w:rPr>
        <w:t>E. 5</w:t>
      </w:r>
    </w:p>
    <w:p>
      <w:r>
        <w:t>Die Beschwerde erweist sich als unbegründet. Sie ist abzuweisen, soweit darauf eingetreten werden kann. Dem Ausgang des Verfahrens entsprechend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