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4A_76/2012 vom 11. Oktober 2012</w:t>
      </w:r>
    </w:p>
    <w:p>
      <w:r>
        <w:t>Bundesgericht, 2012-10-11, DE</w:t>
      </w:r>
    </w:p>
    <w:p>
      <w:r>
        <w:rPr>
          <w:b/>
        </w:rPr>
        <w:t xml:space="preserve">Quelle: </w:t>
      </w:r>
      <w:r>
        <w:t>https://mcp.opencaselaw.ch/entscheid/bger_4A_76_2012</w:t>
      </w:r>
    </w:p>
    <w:p>
      <w:r>
        <w:t>FR: TF 4A_76/2012 du 11 octobre 2012</w:t>
      </w:r>
    </w:p>
    <w:p>
      <w:r>
        <w:t>IT: TF 4A_76/2012 del 11 ottobre 2012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Basel. Weder die Beschwerdeführerin noch die Beschwerdegegnerin hatten im massgebenden Zeitpunkt ihren Sitz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Die Beschwerdeführerin rügt in verschiedener Hinsicht eine Verletzung des rechtlichen Gehörs ( Art. 190 Abs. 2 lit. d IPRG ).</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rPr>
          <w:b/>
        </w:rPr>
        <w:t>E. 3.2</w:t>
      </w:r>
    </w:p>
    <w:p>
      <w:r>
        <w:t>Die Beschwerdeführerin bringt vor, das Schiedsgericht habe verschiedene ihrer substantiierten und entscheidrelevanten Vorbringen im Zusammenhang mit der vertragsgemässen Konstruktion der fraglichen Anlage, dem Treffen der Parteien im September 2005, der unterbliebenen Eröffnung des Bankakkreditivs sowie hinsichtlich des Schadenseintritts bzw. der Schadensberechnung unberücksichtigt gelassen. Dabei übt sie jedoch mehrheitlich lediglich appellatorische Kritik am angefochtenen Schiedsentscheid, indem sie vor Bundesgericht unter Hinweis auf ihre Vorbringen im Rahmen des Schiedsverfahrens sowie verschiedenste Aktenstücke ihren Rechtsstandpunkt zu mehreren Prozessthemen wiederholt und vom angefochtenen Entscheid abweichende Schlüsse zieht.</w:t>
      </w:r>
    </w:p>
    <w:p>
      <w:r>
        <w:t>So behauptet sie etwa, die Anlage habe den vertraglichen Anforderungen nicht entsprochen, da die Beschwerdegegnerin verpflichtet gewesen sei, die Anlage so zu konstruieren, dass drei Arten von Dialysatoren unter Verwendung von drei unterschiedlichen Gehäusegrössen hergestellt werden könnten. Das Schiedsgericht hat die verschiedenen von der Beschwerdeführerin ins Feld geführten Argumente hinsichtlich der angeblich vertraglich vorgesehenen Gehäusegrössen berücksichtigt; es ist jedoch ihrem Standpunkt nicht gefolgt, sondern hat nach Würdigung der vorgebrachten Beweise erwogen, dass sich der Vereinbarung vom 5. Mai 2004 keine Regelung bezüglich einer bestimmten Grösse der Dialysegehäuse entnehmen lasse. Die Beschwerdeführerin zeigt keine Gehörsverletzung ( Art. 190 Abs. 2 lit. d IPRG ) auf, indem sie Gegenteiliges behauptet; damit übt sie vielmehr lediglich unzulässige Kritik am angefochtenen Entscheid. Entsprechendes gilt für ihre Ausführungen zu dem nach der Vertragsvereinbarung angeblich hauptsächlich zu produzierenden Gut, mit denen sie lediglich ihre Vorbringen im Rahmen des Schiedsverfahrens hinsichtlich der Eignung der Anlage für die Herstellung von Dialysatoren mit einer Grösse von 1.6 m2 auflistet, um damit zu schliessen, das Schiedsgericht wäre "zum richtigen Schluss gekommen", dass die Anlage nicht vertragskonform konstruiert gewesen sei, hätte es ihre Vorbringen berücksichtigt.</w:t>
      </w:r>
    </w:p>
    <w:p>
      <w:r>
        <w:t>Auch ihre Darlegungen hinsichtlich des Treffens der Parteien im September 2005 sowie der unterbliebenen Eröffnung des Bankakkreditivs erschöpfen sich in unzulässiger Kritik am angefochtenen Entscheid. Die Beschwerdeführerin verkennt allgemein, dass sich aus dem Grundsatz des rechtlichen Gehörs im Sinne von Art. 190 Abs. 2 lit. d IPRG kein Anspruch auf Begründung des Schiedsspruchs ergibt ( BGE 134 III 186 E. 6 S. 187 f. mit Hinweisen). Mit der angeblich unzureichenden Begründung des angefochtenen Entscheids zeigt sie keinen in Art. 190 Abs. 2 IPRG vorgesehenen Beschwerdegrund auf (vgl. BGE 134 III 186 E. 6.1 S. 187; 127 III 576 E. 2b S. 577 f.; je mit Hinweisen).</w:t>
      </w:r>
    </w:p>
    <w:p>
      <w:r>
        <w:t>Im Übrigen trifft es nicht zu, dass das Schiedsgericht das Argument der Beschwerdeführerin unberücksichtigt gelassen hätte, dass der Beschwerdegegnerin aufgrund der Preisdifferenz zwischen dem ursprünglichen Vertrag zwischen den Parteien vom 5. Mai 2004 und dem am 7. September 2009 zwischen der Beschwerdegegnerin und der Q.________ GmbH abgeschlossenen Vertrag kein Schaden entstanden sei. Das Schiedsgericht hat die Frage der massgebenden Preisdifferenz eingehend geprüft. Es ist dabei der Ansicht der Beschwerdeführerin nicht gefolgt, wonach die Parteien mit Vereinbarung vom 28. November 2006 den Kaufpreis der Anlage von EUR 7 Mio. auf EUR 5'095'000.-- reduziert hätten, sondern erachtete vielmehr eine vereinbarte Bedingung für die Preisreduktion als nicht erfüllt, weshalb es bei der Berechnung der Preisdifferenz auf den ursprünglichen Kaufpreis von EUR 7 Mio. und nicht auf den von der Beschwerdegegnerin als massgebend erachteten (reduzierten) Kaufpreis von EUR 5'095'000.-- abstellte. Ob das Schiedsgericht zu Recht auf die Differenz zwischen dem ursprünglich vereinbarten Kaufpreis von EUR 7 Mio. und dem tatsächlich erzielten Wiederverkaufspreis von EUR 5'880'000.-- abgestellt hat, kann das Bundesgericht im Beschwerdeverfahren nicht überprüfen.</w:t>
      </w:r>
    </w:p>
    <w:p>
      <w:r>
        <w:t>Auch hinsichtlich des Zinsschadens, der Reparaturkosten sowie der Kosten für Versicherung und Lagerung der Anlage hat das Schiedsgericht die tatsächlichen und rechtlichen Voraussetzungen des geltend gemachten Schadenersatzanspruchs geprüft und die in der Beschwerde erwähnten Vorbringen ausdrücklich oder zumindest implizit verworfen. Die Beschwerdeführerin kritisiert den angefochtenen Entscheid einmal mehr in unzulässiger Weise, ohne einen in Art. 190 Abs. 2 IPRG vorgesehenen Rügegrund aufzuzeigen. Eine Verletzung des rechtlichen Gehörs ist nicht dargetan.</w:t>
      </w:r>
    </w:p>
    <w:p>
      <w:r>
        <w:rPr>
          <w:b/>
        </w:rPr>
        <w:t>E. 3.3</w:t>
      </w:r>
    </w:p>
    <w:p>
      <w:r>
        <w:t>Die Beschwerdeführerin begründet eine weitere Gehörsrüge damit, das Schiedsgericht habe der Beschwerdegegnerin mit Verfügung vom 10. Januar 2011 - und damit nach erfolgtem Haupt- und Beweisverfahren - erlaubt, den geltend gemachten Schaden zu substantiieren und die entsprechende Berechnung einzureichen, was diese mit Eingabe vom 2. Februar 2011 auch getan und dem Schiedsgericht eine Vielzahl neuer Behauptungen und neuer Urkunden eingereicht habe. Sie selbst habe dazu am 14. März 2011 Stellung genommen, wobei sie unter anderem die erneute Einvernahme von Zeugen beantragt habe. Indem das Schiedsgericht die von ihr angebotenen Zeugenbeweise nicht abgenommen habe, sei ihr Anspruch auf rechtliches Gehör verletzt worden.</w:t>
      </w:r>
    </w:p>
    <w:p>
      <w:r>
        <w:t>Das Schiedsgericht erachtete eine zusätzliche Zeugenbefragung als nicht erforderlich, nachdem sich die Beschwerdegegnerin bereits vor den erfolgten Zeugeneinvernahmen auf die Preisdifferenz von EUR 1'120'000.-- berufen hatte und mögliche Abzüge von diesem Betrag in den schriftlichen Zeugenaussagen von A.________ und B.________ thematisiert worden waren; die Beschwerdeführerin habe anlässlich der mündlichen Verhandlung vom 14. und 15. September 2010 die Gelegenheit gehabt, die Zeugen zu diesen Punkten zu befragen. Der Beschwerdeführerin wurde in Wahrung ihres rechtlichen Gehörs Gelegenheit geboten, sich zur Eingabe der Beschwerdegegnerin vom 2. Februar 2011 zu äussern, wovon sie in ihrer schriftlichen Stellungnahme vom 14. März 2011 ausführlich Gebrauch machte. Sie zeigt vor Bundesgericht nicht auf, welche konkreten von der Beschwerdegegnerin eingereichten Unterlagen eine erneute Zeugenbefragung erforderlich gemacht hätten. Vielmehr behauptet sie lediglich in pauschaler Weise, die Beschwerdegegnerin habe in ihrer Eingabe vom 2. Februar 2011 im Zusammenhang mit der Schadensberechnung eine Vielzahl neuer Behauptungen erhoben sowie neue Urkunden eingereicht, die im Zeitpunkt der ersten Zeugeneinvernahmen vom 14. und 15. September 2010 noch gar nicht vorgelegen hätten. Sie legt jedoch nicht dar, welche konkreten Vorbringen bzw. Unterlagen neu gewesen wären und daher anlässlich der ersten Zeugenbefragung nicht hätten angesprochen werden können. Ebenso wenig zeigt sie mit Aktenhinweisen auf, welche ihrer Vorbringen im Schiedsverfahren durch Zeugenbefragung hätten bewiesen werden sollen, sondern lässt es bei der allgemeinen Behauptung bewenden, eine erneute Zeugenbefragung hätte ihr den Nachweis erlaubt, dass der von der Beschwerdegegnerin geltend gemachte Schaden nicht zutreffe. Eine Verletzung des Grundsatzes des rechtlichen Gehörs ( Art. 190 Abs. 2 lit. d IPRG ) ist damit nicht dargetan.</w:t>
      </w:r>
    </w:p>
    <w:p>
      <w:r>
        <w:rPr>
          <w:b/>
        </w:rPr>
        <w:t>E. 3.4</w:t>
      </w:r>
    </w:p>
    <w:p>
      <w:r>
        <w:t>Die Beschwerdeführerin listet im Weiteren verschiedene Feststellungen des angefochtenen Entscheids auf und behauptet, diese seien aktenwidrig. Damit verkennt sie, dass nach ständiger Rechtsprechung des Bundesgerichts eine offensichtlich falsche oder aktenwidrige Feststellung für sich allein nicht ausreicht, um einen internationalen Schiedsentscheid aufzuheben. Der Anspruch auf rechtliches Gehör enthält keinen Anspruch auf einen materiell richtigen Entscheid ( BGE 127 III 576 E. 2b S. 577 f.; 121 III 331 E. 3a S. 333). Dass ihr durch ein offensichtliches Versehen des Schiedsgerichts verunmöglicht worden wäre, ihren Standpunkt in den Prozess einzubringen und zu beweisen, macht sie hingegen nicht geltend (vgl. BGE 133 III 235 E. 5.2 S. 248 f.; 127 III 576 E. 2b-f S. 577 ff.).</w:t>
      </w:r>
    </w:p>
    <w:p>
      <w:r>
        <w:rPr>
          <w:b/>
        </w:rPr>
        <w:t>E. 4</w:t>
      </w:r>
    </w:p>
    <w:p>
      <w:r>
        <w:t>Die Beschwerdeführerin wirft dem Schiedsgericht eine Verletzung des Ordre public ( Art. 190 Abs. 2 lit. e IPRG ) vor.</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4.2</w:t>
      </w:r>
    </w:p>
    <w:p>
      <w:r>
        <w:t>Die Beschwerdeführerin bringt vor, das Schiedsgericht habe den Grundsatz der Vertragstreue (pacta sunt servanda) verletzt, indem es die am 28. November 2006 vereinbarte Preisreduktion von EUR 7 Mio. auf EUR 5'095'000.-- unberücksichtigt gelassen habe.</w:t>
      </w:r>
    </w:p>
    <w:p>
      <w:r>
        <w:t>Sie verkennt mit ihren Vorbringen die Tragweite des Grundsatzes der Vertragstreue im Rahmen des Beschwerdegrunds von Art. 190 Abs. 2 lit. e IPRG . Der erwähnte Grundsatz ist nur verletzt, wenn das Schiedsgericht zwar die Existenz eines Vertrags bejaht, die daraus sich ergebenden Konsequenzen jedoch missachtet, oder - umgekehrt - die Existenz eines Vertrags verneint, jedoch trotzdem eine vertragliche Verpflichtung bejaht (Urteile 4A_14/2012 vom 2. Mai 2012 E. 5.2.1, nicht publ. in BGE 138 III 270 ; 4A_46/2011 vom 16. Mai 2011 E. 4.2.1; 4A_43/2010 vom 29. Juli 2010 E. 5.2; vgl. auch BGE 120 II 155 E. 6c/cc S. 171; 116 II 634 E 4b S. 638). Davon kann vorliegend keine Rede sein. Vielmehr hat das Schiedsgericht eine vertragliche Bedingung für die Preisreduktion gemäss der Vereinbarung vom 28. November 2006 als nicht erfüllt erachtet und damit folgerichtig nicht auf den reduzierten Kaufpreis abgestellt. Indem die Beschwerdeführerin dies in Frage stellt und dem Bundesgericht ihre abweichende Rechtsauffassung unterbreitet, kritisiert sie lediglich in unzulässiger Weise die schiedsgerichtliche Vertragsauslegung. Eine Verletzung des Ordre public ( Art. 190 Abs. 2 lit. e IPRG ) zeigt sie damit nicht auf.</w:t>
      </w:r>
    </w:p>
    <w:p>
      <w:r>
        <w:rPr>
          <w:b/>
        </w:rPr>
        <w:t>E. 4.3</w:t>
      </w:r>
    </w:p>
    <w:p>
      <w:r>
        <w:t>Die Beschwerdeführerin bringt weiter vor, das Schiedsgericht habe der Beschwerdegegnerin mit Verfügung vom 10. Januar 2011 ermöglicht, ihre unsubstantiiert eingereichte Klage nach erfolgtem Haupt- und Beweisverfahren nachzubessern und damit die Dispositionsmaxime verletzt; richtigerweise hätte das Schiedsgericht die Klage abweisen müssen.</w:t>
      </w:r>
    </w:p>
    <w:p>
      <w:r>
        <w:t>Damit zeigt die Beschwerdeführerin keine Verletzung des Ordre public auf, sondern übt einmal mehr unzulässige Kritik am angefochtenen Schiedsentscheid. Entsprechendes gilt für ihr Vorbringen, das Schiedsgericht sei bezüglich der Transportkosten "faktisch" von einer Umkehr der Beweislast ausgegangen, was nicht gerechtfertigt sei.</w:t>
      </w:r>
    </w:p>
    <w:p>
      <w:r>
        <w:rPr>
          <w:b/>
        </w:rPr>
        <w:t>E. 5</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