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4A_760/2011 vom 23. Mai 2012</w:t>
      </w:r>
    </w:p>
    <w:p>
      <w:r>
        <w:t>Bundesgericht, 2012-05-23, FR</w:t>
      </w:r>
    </w:p>
    <w:p>
      <w:r>
        <w:rPr>
          <w:b/>
        </w:rPr>
        <w:t xml:space="preserve">Quelle: </w:t>
      </w:r>
      <w:r>
        <w:t>https://mcp.opencaselaw.ch/entscheid/bger_4A_760_2011</w:t>
      </w:r>
    </w:p>
    <w:p>
      <w:r>
        <w:t>FR: TF 4A_760/2011 du 23 mai 2012</w:t>
      </w:r>
    </w:p>
    <w:p>
      <w:r>
        <w:t>IT: TF 4A_760/2011 del 23 maggio 2012</w:t>
      </w:r>
    </w:p>
    <w:p>
      <w:pPr>
        <w:pStyle w:val="Heading2"/>
      </w:pPr>
      <w:r>
        <w:t>Erwägungen</w:t>
      </w:r>
    </w:p>
    <w:p>
      <w:r>
        <w:rPr>
          <w:b/>
        </w:rPr>
        <w:t>E. 1.1</w:t>
      </w:r>
    </w:p>
    <w:p>
      <w:r>
        <w:t>Le recours est dirigé contre un arrêt final ( art. 90 LTF ) rendu en matière civile ( art. 72 al. 1 LTF ) par une autorité cantonale de dernière instance statuant sur recours ( art. 75 LTF ) dans une affaire pécuniaire dont la valeur litigieuse atteint le seuil de 30'000 fr. ( art. 74 al. 1 let. b LTF ). Dans leur mémoire, les recourantes s'en prennent également à l'arrêt du 18 avril 2008 dans lequel la Cour de justice avait notamment nié l'existence d'une transaction extrajudiciaire entre les parties. Conformément à l' art. 93 al. 3 LTF , cette décision incidente, contre laquelle les recourantes avaient formé un recours en matière civile déclaré irrecevable, peut être attaquée par le recours contre la décision finale dans la mesure où celle-là influe sur le contenu de celle-ci, soit sur le rejet de la demande en paiement.</w:t>
      </w:r>
    </w:p>
    <w:p>
      <w:r>
        <w:t>Exercé par les parties qui ont succombé dans leurs conclusions en paiement ( art. 76 al. 1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Les recourantes font valoir tout d'abord que l'obligation de l'intimé d'indemniser leurs pertes de soutien résulte de l'accord transactionnel passé le 22 octobre 2002 avec F.________ Assurance, dans lequel le médecin, représenté par son assureur responsabilité civile, admet sa responsabilité de principe et son devoir d'indemniser, la seule question ouverte étant la quotité du dommage. A leur sens, la cour cantonale a violé le droit fédéral en jugeant que cette transaction extrajudiciaire ne liait pas l'intimé, non valablement représenté par l'assureur qui ne disposait pas des pouvoirs spéciaux nécessaires pour transiger.</w:t>
      </w:r>
    </w:p>
    <w:p>
      <w:r>
        <w:rPr>
          <w:b/>
        </w:rPr>
        <w:t>E. 2.1</w:t>
      </w:r>
    </w:p>
    <w:p>
      <w:r>
        <w:t>Avant d'aborder, le cas échéant, la question de la représentation de l'assuré par l'assureur lors d'une transaction, il convient d'analyser le courrier électronique et la lettre du 22 octobre 2002 de F.________ Assurance, lesquels constitueraient la transaction extrajudiciaire invoquée par les recourantes et, apparemment, admise par la cour cantonale.</w:t>
      </w:r>
    </w:p>
    <w:p>
      <w:r>
        <w:t>La transaction est un contrat par lequel les parties mettent fin, par des concessions réciproques, à un litige ou à une incertitude touchant un rapport de droit ( ATF 132 III 737 consid. 1.3 p. 740; 130 III 49 consid. 1.2 p. 51 et les arrêts cités). En l'espèce, dans ses envois du 22 octobre 2002, l'assureur déclare que l'intimé accepte sur le principe que sa responsabilité soit engagée, puis précise que le médecin reconnaît avoir commis une erreur de diagnostic, tout en réservant le lien de causalité entre celle-ci et le décès du mari et père des recourantes. Il ne s'agit pas là d'un contrat, ni même d'une offre transactionnelle, mais d'une déclaration unilatérale, dépourvue des concessions réciproques caractéristiques de la transaction. Lorsqu'elles prétendent avoir renoncé, à titre de concession, à entreprendre ou à soutenir des procédures pénale, administrative ou disciplinaire tendant au prononcé de sanctions à l'égard de l'intimé, les recourantes avancent ainsi un élément dénué de pertinence qui, au demeurant, ne ressort pas des faits établis par l'autorité cantonale et liant la cour de céans (cf. consid. 1.3 supra).</w:t>
      </w:r>
    </w:p>
    <w:p>
      <w:r>
        <w:t>Les envois du 22 octobre 2002 peuvent se comprendre comme une reconnaissance de responsabilité, soit une déclaration par laquelle une personne admet le principe de sa responsabilité à la suite d'un événement dommageable (PIERRE TERCIER/PASCAL G. FAVRE, Les contrats spéciaux, 4e éd. 2009, n° 8120 p. 1228). La portée de la reconnaissance de responsabilité est discutée en doctrine. Pour certains, il s'agit le plus souvent de déclarations portant sur des faits, qui ne fondent aucun engagement juridique; en cas de procès, elles peuvent uniquement valoir comme indice lors de l'appréciation des preuves (INGEBORG SCHWENZER, in Basler Kommentar, OR I, 5e éd. 2011, n° 4 ad art. 17 CO ; BRUNO SCHMIDLIN, Berner Kommentar, 1986, n° 40 à 43 ad art. 17 CO ). Selon SILVIA TEVINI DU PASQUIER, la reconnaissance de responsabilité constitue une reconnaissance de dette au sens de l' art. 17 CO , car une dette peut être reconnue quant à son principe seulement (in Commentaire romand, Code des obligations I, 2003, n° 6 ad art. 17 CO ). Dans l'arrêt publié aux ATF 96 II 25 , le Tribunal fédéral n'a pas exclu qu'une reconnaissance de responsabilité puisse comprendre une reconnaissance de dette; la question n'avait toutefois pas besoin d'être tranchée, dès lors que la déclaration en cause, entachée d'une erreur essentielle, ne liait pas son émetteur (consid. 2b p. 27). En tout état de cause, la déclaration de responsabilité doit être interprétée pour déterminer si elle contient une reconnaissance de dette (TERCIER/FAVRE, op. cit., n° 8120 p. 1228; SCHMIDLIN, op. cit., n° 44 et n° 45 ad art. 17 CO ).</w:t>
      </w:r>
    </w:p>
    <w:p>
      <w:r>
        <w:t>En l'espèce, ni l'arrêt du 18 avril 2008, ni l'arrêt du 18 novembre 2011 ne contiennent de constatations sur la volonté réelle de l'émetteur des déclarations du 22 avril 2002, qui aurait été reçue comme telle par les recourantes. Il faut par conséquent interpréter le courriel et le courrier du 22 avril 2002 selon le principe de la confiance, c'est-à-dire rechercher comment ces déclarations pouvaient être comprises de bonne foi en fonction de l'ensemble des circonstances (interprétation objective; ATF 136 III 186 consid. 3.2.1 p. 188; 135 III 295 consid. 5.2 p. 302).</w:t>
      </w:r>
    </w:p>
    <w:p>
      <w:r>
        <w:t>Émanant de la même personne et rédigées le même jour, les deux missives doivent être analysées comme un tout, la lettre confirmant et précisant le courrier électronique. Ce dernier contient une reconnaissance de responsabilité, sans plus amples développements, alors que la lettre précise que le médecin reconnaît une «erreur de diagnostic», tout en réservant le lien de causalité entre celle-ci et le décès de B.________. Or, une erreur de diagnostic n'équivaut pas encore à une violation des règles de l'art médical, qui est l'une des conditions de la responsabilité civile du médecin. De plus, l'assureur réserve expressément une autre condition de la responsabilité, soit la causa-lité entre l'erreur de diagnostic et le décès. C'est dire que, de bonne foi, le courriel et le courrier du 22 octobre 2002 ne peuvent être compris comme une reconnaissance de responsabilité pure et simple, soit une reconnaissance de dette portant l'engagement de réparer le préjudice consécutif au décès de B.________, seuls les montants à verser étant encore en jeu.</w:t>
      </w:r>
    </w:p>
    <w:p>
      <w:r>
        <w:t>Certes, l'assureur et les recourantes sont entrés en négociation par la suite et ont réglé à l'amiable la réparation du tort moral. Cependant, il ne résulte pas de cette convention d'indemnisation - et les recourantes ne le prétendent du reste pas - que l'assureur, représentant l'intimé, a promis à cette occasion d'indemniser également la perte de soutien et donc reconnu purement et simplement la responsabilité du médecin. C'est le lieu de rappeler qu'un assureur peut accepter d'entrer en matière sur une indemnisation sans pour autant que la responsabilité de son assuré soit reconnue ou établie, afin, par exemple, d'éviter un procès.</w:t>
      </w:r>
    </w:p>
    <w:p>
      <w:r>
        <w:t>Au demeurant, même une promesse née d'une reconnaissance de dette n'aurait pas empêché le débiteur d'invoquer la non-validité de la dette reconnue et de se prévaloir de toutes les objections et exceptions affectant le rapport de base (TEVINI DU PASQUIER, op. cit., n° 8 ad art. 17 CO ). Certes, les parties auraient pu conclure une convention d'exclusion des exceptions ou une novation, laquelle ne se présume pas ( art. 116 al. 1 CO ) (ibid., n° 9 ad art. 17 CO ; cf. également SCHMIDLIN, op. cit., n° 45 ad art. 17 CO ). Dans le cas présent, rien de tel ne ressort toutefois de l'état de fait des deux arrêts cantonaux.</w:t>
      </w:r>
    </w:p>
    <w:p>
      <w:r>
        <w:rPr>
          <w:b/>
        </w:rPr>
        <w:t>E. 2.2</w:t>
      </w:r>
    </w:p>
    <w:p>
      <w:r>
        <w:t>Il résulte de ce qui précède que, indépendamment de la question de la représentation de l'intimé par son assureur, les recourantes ne peuvent pas se prévaloir des missives du 22 octobre 2002, ni du règlement extrajudiciaire du 22 avril 2003 pour fonder leurs préten-tions en perte de soutien.</w:t>
      </w:r>
    </w:p>
    <w:p>
      <w:r>
        <w:t>Cette conclusion rend sans objet les griefs des recourantes dirigés contre certains faits prétendument établis ou omis de manière arbitraire par la cour cantonale. En effet, ceux-ci concernent les relations entre l'intimé et son assureur, lesquelles sont sans pertinence vu le raisonnement adopté par la cour de céans.</w:t>
      </w:r>
    </w:p>
    <w:p>
      <w:r>
        <w:rPr>
          <w:b/>
        </w:rPr>
        <w:t>E. 3.1</w:t>
      </w:r>
    </w:p>
    <w:p>
      <w:r>
        <w:t>Selon les recourantes, la cour cantonale a également violé le droit fédéral, voire établi les faits de manière arbitraire, en niant le lien de causalité naturelle et adéquate entre l'erreur de diagnostic commise par l'intimé - constituant une violation des règles de l'art - et le décès de B.________. Premièrement, les juges genevois se seraient mépris sur le degré de preuve requis, qui est la vraisemblance prépondérante, et non la haute vraisemblance. En second lieu, sur la base de l'expertise judiciaire, ils auraient dû retenir que l'important retard dans la prise en charge médicale de B.________, dû à l'erreur de diagnostic, était, selon la règle de la vraisemblance prépondérante, la cause naturelle du décès.</w:t>
      </w:r>
    </w:p>
    <w:p>
      <w:r>
        <w:rPr>
          <w:b/>
        </w:rPr>
        <w:t>E. 3.2</w:t>
      </w:r>
    </w:p>
    <w:p>
      <w:r>
        <w:t>Un fait est une cause naturelle d'un résultat dommageable s'il constitue une condition sine qua non de la survenance de ce résultat. Le constat d'un lien de causalité naturelle relève du fait ( ATF 133 III 462 consid. 4.4.2 p. 470; 133 IV 158 consid. 6.1 p. 167; 128 III 174 consid. 2b p. 177, 180 consid. 2d p. 184). Lorsque le fait générateur de responsabilité consiste en une omission, il convient de s'interroger sur le cours hypothétique des événements ( ATF 129 III 129 consid. 8). Dans ce cas, le Tribunal fédéral est en principe lié (cf. art. 97 al. 1, art. 105 al. 1 et 2 LTF ) par les constatations cantonales concernant la causalité naturelle, dès lors qu'elles ne reposent pas exclusivement sur l'expérience de la vie, mais sur des faits établis par l'appréciation des preuves (cf. ATF 132 III 715 consid. 2.3 p. 718 s.; 127 III 453 consid. 5d p. 456; 115 II 440 consid. 5b p. 448 s.). Un fait est établi si le juge a pu se convaincre de la vérité d'une allégation. Cependant, lorsqu'une preuve stricte n'est pas possible ou ne peut être raisonnablement exigée («état de nécessité en matière de preuve»), le degré de preuve requis se limite à la vraisemblance prépondérante. Tel est le cas lorsqu'il s'agit d'établir l'existence d'un lien de causalité naturelle, respectivement hypothétique ( ATF 133 III 81 consid. 4.2.2 p. 88 s., 462 consid. 4.4.2 p. 470 s. et les arrêts cités).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p. 88 s. et les arrêts cités). Il y a violation du droit fédéral si le juge impose à la partie chargée de la preuve d'établir les faits avec certitude alors que le degré de preuve requis est la vraisemblance prépondérante ( ATF 133 III 81 consid. 4.2.3 p. 89).</w:t>
      </w:r>
    </w:p>
    <w:p>
      <w:r>
        <w:rPr>
          <w:b/>
        </w:rPr>
        <w:t>E. 3.2.1</w:t>
      </w:r>
    </w:p>
    <w:p>
      <w:r>
        <w:t>La cour cantonale a nié un lien de causalité «naturelle et adéquate» entre l'erreur de diagnostic de l'intimé et le décès de B.________, car elle ne pouvait pas retenir que «si l'intimé n'avait pas commis d'erreur de diagnostic, qu'il avait décelé l'infarctus dès la consultation du 24 mai 2002 et qu'il avait fait procéder aux examens adéquats, il aurait été hautement vraisemblable que B.________ ne succombe pas des suites de [l']infarctus». Le degré de preuve appliqué par les juges précédents est ainsi la haute vraisemblance, qui correspond à la vraisemblance prépondérante (FABIENNE HOHL, Procédure civile, tome II, 2e éd. 2010, nos 1562 et 1564 p. 284). Contrairement à ce que les recourantes prétendent, la Chambre civile n'a dès lors pas violé le droit fédéral sur ce point.</w:t>
      </w:r>
    </w:p>
    <w:p>
      <w:r>
        <w:rPr>
          <w:b/>
        </w:rPr>
        <w:t>E. 3.2.2</w:t>
      </w:r>
    </w:p>
    <w:p>
      <w:r>
        <w:t>Les recourantes devaient établir qu'une prise en charge médicale adéquate de l'infarctus juste après la consultation du 24 mai 2002 aurait, avec une vraisemblance prépondérante, empêché le décès de leur mari et père. En d'autres termes, il s'agissait de déterminer si l'omission de l'intimé, qui n'a pas effectué les examens permettant de déceler l'infarctus le 24 mai 2002, est en lien de causalité naturelle avec le décès.</w:t>
      </w:r>
    </w:p>
    <w:p>
      <w:r>
        <w:t>Il n'est pas contesté que la cause directe du décès de B.________ est une rupture myocardique suivie d'une tamponnade cardiaque. Selon l'expertise judiciaire, cette complication survient typiquement trois à quatre jours après un infarctus frais et se révèle fatale dans la très grande majorité des cas. A la question de savoir si l'erreur de diagnostic de l'intimé est causale dans le décès de B.________, l'expert répond qu'il «est très difficile d'affirmer de façon catégorique que si M. B.________ avait été hospitalisé dans les premières heures de son infarctus du myocarde, [la] perforation ventriculaire n'aurait pas eu lieu» (réponse n° 2), que «si le patient avait été hospitalisé et l'artère occluse recanalisée plus tôt, une tamponnade aurait possiblement pu être évitée, sans qu'[il puisse] l'affirmer de façon absolue» (réponse n° 22) et que «si le patient avait pu être pris en charge de façon optimale dans les premières heures de l'infarctus, une tamponnade avec une rupture myocardique aurait pu également se produire, mais certainement avec une fréquence moindre» (réponse n° 24). L'expert observe que la prise en charge de l'infarctus, impliquant une coronarographie et une re-canalisation de l'artère bouchée, peut permettre de «diminuer la taille et l'étendue de l'infarctus» (réponse n° 2) et que «diminuer la taille de l'infarctus revient à minimiser le risque de perforation myocardique, même si l'on ne peut pas l'exclure de façon absolue» (réponse n° 4). En ce qui concerne le délai dans lequel cette prise en charge médicale doit intervenir pour être efficace, le Professeur E.________ mentionne une durée de six à douze heures depuis le début de l'infarctus (réponses n° 2 et n° 20), «voire davantage chez les patients présentant une persistance des douleurs» (réponse n° 20), tout en précisant qu'«après 12 heures, [le] bénéfice devient difficile à démontrer» (réponse n° 4) et que la prise en charge doit intervenir «idéalement dans les trois premières heures» (réponse n° 4).</w:t>
      </w:r>
    </w:p>
    <w:p>
      <w:r>
        <w:t>Fondée sur l'expertise, la cour cantonale a retenu comme déterminant, pour réduire le risque de perforation myocardique, un délai maximal d'intervention de douze heures dès le début de l'infarctus. Or, comme B.________ a ressenti les premières douleurs dans la nuit du 23 au 24 mai 2002 et que la consultation chez l'intimé a débuté le 24 mai à 17 heures, une prise en charge médicale n'aurait, selon l'arrêt attaqué, de toute manière pas pu intervenir dans ce délai de douze heures, compte tenu du temps nécessaire aux examens et au transfert du patient à l'hôpital.</w:t>
      </w:r>
    </w:p>
    <w:p>
      <w:r>
        <w:t>Ce faisant, la Chambre civile n'a pas apprécié arbitrairement l'expertise judiciaire. Le délai maximal de douze heures ressort ainsi de trois réponses fournies par le Professeur E.________. Certes, ce dernier envisage, éventuellement, un délai plus long chez des patients présentant une persistance des douleurs, ce qui, relèvent les recourantes, était le cas de B.________ au cours du week-end du 25 au 26 mai 2002. Cependant, interrogé sur le cas précis de B.________, l'expert reste très prudent, déclarant notamment qu'une intervention effectuée «plus tôt» - sans autre précision de temps - aurait «possiblement» - même pas «vraisemblablement» - permis d'éviter la perforation myocardique suivie de la tamponnade. Sur la base de ces éléments, la cour cantonale pouvait, sans arbitraire, retenir que les recourantes n'avaient pas démontré, au degré de preuve requis, soit la vraisemblance prépondérante, qu'une prise en charge médicale adéquate, au début de la soirée du 24 mai 2002, aurait empêché le décès de leur mari et père.</w:t>
      </w:r>
    </w:p>
    <w:p>
      <w:r>
        <w:rPr>
          <w:b/>
        </w:rPr>
        <w:t>E. 4</w:t>
      </w:r>
    </w:p>
    <w:p>
      <w:r>
        <w:t>Sur le vu de ce qui précède, le recours doit être rejeté.</w:t>
      </w:r>
    </w:p>
    <w:p>
      <w:r>
        <w:t>Les recourantes prendront à leur charge les frais judiciaires ( art. 66 al. 1 et 5 LTF ) et verseront des dépens à l'intimé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