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75/2024 vom 25. März 2024</w:t>
      </w:r>
    </w:p>
    <w:p>
      <w:r>
        <w:t>Bundesgericht, 2024-03-25, DE</w:t>
      </w:r>
    </w:p>
    <w:p>
      <w:r>
        <w:rPr>
          <w:b/>
        </w:rPr>
        <w:t xml:space="preserve">Quelle: </w:t>
      </w:r>
      <w:r>
        <w:t>https://mcp.opencaselaw.ch/entscheid/bger_4A_75_2024</w:t>
      </w:r>
    </w:p>
    <w:p>
      <w:r>
        <w:t>FR: TF 4A 75/2024 du 25 mars 2024</w:t>
      </w:r>
    </w:p>
    <w:p>
      <w:r>
        <w:t>IT: TF 4A 75/2024 del 25 marzo 2024</w:t>
      </w:r>
    </w:p>
    <w:p>
      <w:pPr>
        <w:pStyle w:val="Heading2"/>
      </w:pPr>
      <w:r>
        <w:t>Regeste</w:t>
      </w:r>
    </w:p>
    <w:p>
      <w:r>
        <w:t>Forderung, | Vertragsrecht</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w:t>
      </w:r>
    </w:p>
    <w:p>
      <w:r>
        <w:t>Vor der Vorinstanz war einzig strittig, ob der Beklagte die von ihm zur Verrechnung gestellten Schadenersatzforderungen rechtsgenüglich nachgewiesen hatte. Nicht mehr Gegenstand des Berufungsverfahrens waren der Bestand des der Klägerin zugesprochenen Anspruchs auf Rückzahlung von Fr. 200'000.-- und die Abweisung der Klage im Mehrbetrag von Fr. 78'850.--. Hinsichtlich der Verrechnungsforderung schützte die Vorinstanz das erstinstanzliche Urteil. Der Beschwerdeführer habe den Schaden zwar mit einem Privatgutachten und den Reservierungsbestätigungen substanziiert behauptet und die Beschwerdegegnerin habe diese substanziiert bestritten. In der Folge habe es am beweisbelasteten Beschwerdeführer gelegen, den Beweis für den Eintritt und die Höhe des behaupteten Schadens zu erbringen. Dies sei ihm nicht gelungen. Die Feststellungen hinsichtlich Schäden gemäss Privatgutachten des Beschwerdeführers vermögen diesen Beweis gemäss Vorinstanz nicht zu erbringen. Die Einholung eines gerichtlichen Gutachtens habe der Beschwerdeführer nicht beantragt. Auch die Aussagen der befragten Personen hätten nichts Näheres ergeben. Im Zusammenhang mit den stornierten Hotelübernachtungen setzte sich der Beschwerdeführer nicht hinreichend mit den erstinstanzlichen Erwägungen auseinander, wonach er den entgangenen Gewinn nicht rechtsgenüglich nachgewiesen habe. Damit genüge die Berufung in diesem Punkt den Begründungsanforderungen offensichtlich nicht. Selbst wenn diesbezüglich auf die Berufung einzutreten gewesen wäre, übersehe der Beschwerdeführer zudem, dass er nicht nur den entgangenen Umsatz, sondern seinen entgangenen Gewinn inkl. Aufwendungen hätte substanziieren müssen.</w:t>
      </w:r>
    </w:p>
    <w:p>
      <w:r>
        <w:rPr>
          <w:b/>
        </w:rPr>
        <w:t>E. 3.1</w:t>
      </w:r>
    </w:p>
    <w:p>
      <w:r>
        <w:t>Der Beschwerdeführer kritisiert, dass die Vorinstanz nicht beachtet habe, dass die Zahlung von Fr. 200'000.-- der Beschwerdegegnerin nicht eine Anzahlung, sondern eine "Reservationszahlung" gewesen sei. Damit das Bundesgericht auf eine Rüge eintreten kann, ist nicht nur erforderlich, dass der kantonale Instanzenzug formell durchlaufen wurde, sondern auch, dass die Rügen, die dem Bundesgericht unterbreitet werden, soweit möglich schon vor der Vorinstanz vorgebracht wurden (sog. materielle Erschöpfung des Instanzenzugs; BGE 143 III 290 E. 1.1 mit Hinweisen). Gemäss angefochtenem Urteil war die Forderung um Rückzahlung der Fr. 200'000.-- nicht Gegenstand des Berufungsverfahrens und der Beschwerdeführer zeigt auch nicht mit entsprechenden Aktenverweisen auf, dass er diese Rüge bereits im Berufungsverfahren vor Vorinstanz prozesskonform erhoben hatte. Diese Vorbringen sind somit unzulässig.</w:t>
      </w:r>
    </w:p>
    <w:p>
      <w:r>
        <w:rPr>
          <w:b/>
        </w:rPr>
        <w:t>E. 3.2</w:t>
      </w:r>
    </w:p>
    <w:p>
      <w:r>
        <w:t>Hinsichtlich der Beweiskraft von Privatgutachten bringt der Beschwerdeführer vor, dass diese de lege ferenda den gerichtlichen Gutachten gleichgestellt werden sollen und deshalb bereits jetzt als Beweise zuzulassen seien. Er beruft sich damit auf eine unzulässige Vorwirkung des erst am 1. Januar 2025 in Kraft tretenden Urkundenbeweises gemäss rev. Art. 177 ZPO (AS 2023 491). Diese Vorbringen erweisen sich als offensichtlich unbegründet.</w:t>
      </w:r>
    </w:p>
    <w:p>
      <w:r>
        <w:rPr>
          <w:b/>
        </w:rPr>
        <w:t>E. 3.3</w:t>
      </w:r>
    </w:p>
    <w:p>
      <w:r>
        <w:t>Die weiteren Vorbringen des Beschwerdeführers genügen den Begründungsanforderungen (E. 1 oben) offensichtlich nicht:</w:t>
      </w:r>
    </w:p>
    <w:p>
      <w:r>
        <w:rPr>
          <w:b/>
        </w:rPr>
        <w:t>E. 3.3.1</w:t>
      </w:r>
    </w:p>
    <w:p>
      <w:r>
        <w:t>Der Beschwerdeführer setzt sich in seiner Beschwerde nicht hinreichend mit den Erwägungen des angefochtenen Entscheids auseinander und zeigt nicht hinreichend auf, inwiefern die Vorinstanz Bundesrecht verletzt haben soll. Er unterbreitet dem Bundesgericht in unzulässiger Weise seine eigene Sicht der Dinge zur Berechnung seiner Verrechnungsforderung bzw. zur Schadensberechnung, stützt sich dabei auf das Parteigutachten und kritisiert die gegenteiligen Feststellungen der Vorinstanz pauschal als falsch. Damit begründet er nicht im Einzelnen, inwiefern die Vorinstanz in Willkür verfallen sein soll. Soweit der Beschwerdeführer seine Vorbringen vor Bundesgericht auf dem Antrag um Einvernahme der in den Fall involvierten Zeugen abstützt, übersieht er, dass das Bundesgericht grundsätzlich keine Beweise abnimmt und dem Antrag somit nicht stattgegeben werden kann.</w:t>
      </w:r>
    </w:p>
    <w:p>
      <w:r>
        <w:rPr>
          <w:b/>
        </w:rPr>
        <w:t>E. 3.3.2</w:t>
      </w:r>
    </w:p>
    <w:p>
      <w:r>
        <w:t>Der Beschwerdeführer beschwert sich darüber, in seinen Grundrechten verletzt zu sein, da seine Ausführungen zur Schadenshöhe nicht vom Gericht gewürdigt worden seien und eine hinsichtlich Vertragsschluss wichtige Zeugin nicht angehört worden sei. Mit dieser pauschalen Gehörsrüge verfehlt der Beschwerdeführer offensichtlich die strengen Begründungsanforderungen an eine Grundrechtsverletzung. Darauf ist nicht einzutreten.</w:t>
      </w:r>
    </w:p>
    <w:p>
      <w:r>
        <w:rPr>
          <w:b/>
        </w:rPr>
        <w:t>E. 4</w:t>
      </w:r>
    </w:p>
    <w:p>
      <w:r>
        <w:t>Die Beschwerde erweist sich als offensichtlich unbegründet und ist im Verfahren nach Art. 109 Abs. 2 lit. a BGG abzuweisen, soweit darauf einzutreten ist. Die Gerichtskosten sind dem Ausgang des Verfahrens entsprechend dem Beschwerdeführer aufzuerlegen ( Art. 66 Abs. 1 BGG ). Der Beschwerdegegnerin ist keine Parteientschädigung zuzusprechen, da ihr im Zusammenhang mit dem bundesgerichtlichen Verfahren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