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4A_75/2018 vom 15. November 2018</w:t>
      </w:r>
    </w:p>
    <w:p>
      <w:r>
        <w:t>Bundesgericht, 2018-11-15, FR</w:t>
      </w:r>
    </w:p>
    <w:p>
      <w:r>
        <w:rPr>
          <w:b/>
        </w:rPr>
        <w:t xml:space="preserve">Quelle: </w:t>
      </w:r>
      <w:r>
        <w:t>https://mcp.opencaselaw.ch/entscheid/bger_4A_75_2018</w:t>
      </w:r>
    </w:p>
    <w:p>
      <w:r>
        <w:t>FR: TF 4A_75/2018 du 15 novembre 2018</w:t>
      </w:r>
    </w:p>
    <w:p>
      <w:r>
        <w:t>IT: TF 4A_75/2018 del 15 novembre 2018</w:t>
      </w:r>
    </w:p>
    <w:p>
      <w:pPr>
        <w:pStyle w:val="Heading2"/>
      </w:pPr>
      <w:r>
        <w:t>Erwägungen</w:t>
      </w:r>
    </w:p>
    <w:p>
      <w:r>
        <w:rPr>
          <w:b/>
        </w:rPr>
        <w:t>E. 1</w:t>
      </w:r>
    </w:p>
    <w:p>
      <w:r>
        <w:t>Interjeté en temps utile ( art. 100 al. 1 LTF ) compte tenu de la notification de l'arrêt attaqué pendant les féries ( art. 46 al. 1 let . c LTF) par la défenderesse qui a succombé dans ses conclusions libératoires ( art. 76 al. 1 LTF ), contre une décision finale ( art. 90 LTF ) rendue sur appel par le tribunal supérieur du canton ( art. 75 LTF ) dans une affaire de contrat d'entreprise ( art. 72 al. 1 LTF ), dont la valeur litigieuse est supérieure à 30'000 fr. ( art. 74 al. 1 let. b LTF ), le recours en matière civile est recevable au regard de ces dispositions.</w:t>
      </w:r>
    </w:p>
    <w:p>
      <w:r>
        <w:rPr>
          <w:b/>
        </w:rPr>
        <w:t>E. 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défenderesse recourante conteste la compétence</w:t>
      </w:r>
    </w:p>
    <w:p>
      <w:r>
        <w:t>ratione loci de la Chambre patrimoniale. Elle soutient qu'elle n'est pas partie au contrat d'entreprise conclu avec la demanderesse, lequel contient une clause de prorogation de for en faveur des juridictions lausannoises.</w:t>
      </w:r>
    </w:p>
    <w:p>
      <w:r>
        <w:rPr>
          <w:b/>
        </w:rPr>
        <w:t>E. 3.1</w:t>
      </w:r>
    </w:p>
    <w:p>
      <w:r>
        <w:t>Dans un premier grief, la défenderesse recourante reproche à la cour cantonale d'avoir commis un déni de justice formel et une violation de son droit d'être entendue ( art. 29 Cst. ).</w:t>
      </w:r>
    </w:p>
    <w:p>
      <w:r>
        <w:rPr>
          <w:b/>
        </w:rPr>
        <w:t>E. 3.1.1</w:t>
      </w:r>
    </w:p>
    <w:p>
      <w:r>
        <w:t>Il y a déni de justice formel ( art. 29 al. 1 Cst. ) notamment lorsque le juge refuse indûment de se prononcer sur une requête ou sur un moyen de droit qui lui est soumis et dont l'examen relève de sa compétence ( ATF 125 III 440 consid. 2a).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 art. 29 al. 2 Cst. Pour satisfaire à ces exigences, il suffit que le juge mentionne au moins brièvement les motifs qui l'ont guidé et sur lesquels il a fondé sa décision, de manière à ce que le justiciable puisse se rendre compte de la portée de celle-ci et l'attaquer en connaissance de cause. Le juge n'a pas l'obligation d'exposer et de discuter tous les faits, moyens de preuve et griefs invoqués par les parties; il peut se limiter aux questions décisives pour l'issue du litige ( ATF 143 III 65 consid. 5.2; 141 V 557 consid. 3.2.1).</w:t>
      </w:r>
    </w:p>
    <w:p>
      <w:r>
        <w:rPr>
          <w:b/>
        </w:rPr>
        <w:t>E. 3.1.2</w:t>
      </w:r>
    </w:p>
    <w:p>
      <w:r>
        <w:t>La recourante se méprend lorsqu'elle se plaint de ce que la cour cantonale n'aurait pas statué sur les moyens qu'elle a invoqués à l'appui de son appel. La cour cantonale a examiné le moyen tiré de la constatation inexacte des faits, pour considérer qu'il devait être traité " dans le cadre de l'examen des griefs de violation du droit ", puisque la question de l'existence d'un contrat entre les parties relève de l'appréciation des preuves. Elle a ensuite examiné les griefs de l'absence de compétence à raison du lieu et du défaut de légitimation passive au consid. 4, pour les déclarer irrecevables en application de l' art. 237 al. 2 CPC . On ne voit donc pas en quoi il y aurait déni de justice, la cour cantonale s'étant prononcée sur les différents moyens soulevés par la défenderesse appelante.</w:t>
      </w:r>
    </w:p>
    <w:p>
      <w:r>
        <w:t>On ne voit pas non plus en quoi la cour cantonale aurait violé le droit d'être entendu de l'appelante parce que son arrêt serait insuffisamment motivé. Contrairement à ce que soutient la recourante, l'arrêt attaqué reprend sur une page les motifs retenus par l'autorité de première instance, indique les moyens invoqués par l'appelante et comprend une motivation pour chacun d'entre eux.</w:t>
      </w:r>
    </w:p>
    <w:p>
      <w:r>
        <w:t>Il s'ensuit que les juges cantonaux n'ont commis aucun déni de justice ni n'ont violé le droit d'être entendu de la recourante, autre étant la question de savoir si la motivation qu'ils ont adoptée est fondée en droit.</w:t>
      </w:r>
    </w:p>
    <w:p>
      <w:r>
        <w:rPr>
          <w:b/>
        </w:rPr>
        <w:t>E. 3.2</w:t>
      </w:r>
    </w:p>
    <w:p>
      <w:r>
        <w:t>Dans un deuxième grief, la défenderesse recourante reproche à la cour cantonale d'avoir rejeté son exception d'incompétence à raison du lieu, au motif que cette exception n'avait pas été contestée en temps utile, soit par un appel contre la décision incidente du 26 mars 2013.</w:t>
      </w:r>
    </w:p>
    <w:p>
      <w:r>
        <w:rPr>
          <w:b/>
        </w:rPr>
        <w:t>E. 3.2.1</w:t>
      </w:r>
    </w:p>
    <w:p>
      <w:r>
        <w:t>Il s'impose d'abord d'examiner l'application à la cause de la théorie de la double pertinence.</w:t>
      </w:r>
    </w:p>
    <w:p>
      <w:r>
        <w:rPr>
          <w:b/>
        </w:rPr>
        <w:t>E. 3.2.1.1</w:t>
      </w:r>
    </w:p>
    <w:p>
      <w:r>
        <w:t>Aussi bien en matière internationale qu'en droit interne, le tribunal saisi doit, pour déterminer sa compétence, appliquer les principes jurisprudentiels développés sous le nom de théorie de la double pertinence (arrêt 4A_573/2015 du 3 mai 2016 consid. 5). Il doit d'abord déterminer si les faits pertinents pour l'examen de la compétence sont des faits " simples " ou des faits " doublement pertinents " ( ATF 141 III 294 consid. 5.1).</w:t>
      </w:r>
    </w:p>
    <w:p>
      <w:r>
        <w:t>Les faits sont simples (</w:t>
      </w:r>
    </w:p>
    <w:p>
      <w:r>
        <w:t>einfachrelevante Tatsachen ) lorsqu'ils ne sont déterminants que pour la compétence. Ils doivent être prouvés d'entrée de cause, lorsque la partie défenderesse soulève l'exception de déclinatoire en contestant les allégués du demandeur ( ATF 141 III 294 consid. 5.1).</w:t>
      </w:r>
    </w:p>
    <w:p>
      <w:r>
        <w:t>Les faits sont doublement pertinents ou de double pertinence (</w:t>
      </w:r>
    </w:p>
    <w:p>
      <w:r>
        <w:t>doppelrelevante Tatsachen ) lorsqu'ils sont déterminants non seulement pour la compétence du tribunal, mais aussi pour le bien-fondé de l'action. Ainsi, la commission d'un acte illicite ( ATF 141 III 294 consid. 5.2) ou l'existence d'un contrat de travail ( ATF 137 III 32 consid. 2.3 in fine et 2.4.1) sont des faits doublement pertinents puisqu'ils sont déterminants à la fois pour la compétence et pour le bien-fondé de l'action au fond. Conformément à la théorie dite de la double pertinence, le juge saisi examine sa compétence sur la base des allégués, moyens et conclusions de la demande, sans tenir compte des objections de la partie défenderesse ( ATF 136 III 486 consid. 4 p. 487; arrêt 4A_73/2015 du 26 juin 2015 consid. 4.1.2). L'administration des preuves sur les faits doublement pertinents est renvoyée à la phase du procès au cours de laquelle est examiné le bien-fondé de la prétention au fond ( ATF 137 III 32 consid. 2.3 p. 34; arrêt 4A_73/2015 précité consid. 4.1.2).</w:t>
      </w:r>
    </w:p>
    <w:p>
      <w:r>
        <w:t>Il se peut qu'après l'administration des preuves sur les faits doublement pertinents, le tribunal se rende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à ce sujet; il doit, lorsque par exemple l'existence d'un contrat de travail n'est pas prouvée, rejeter la demande par un jugement au fond, qui est revêtu de l'autorité de la chose jugée (arrêt 4A_73/2015 précité consid. 4.1.2).</w:t>
      </w:r>
    </w:p>
    <w:p>
      <w:r>
        <w:rPr>
          <w:b/>
        </w:rPr>
        <w:t>E. 3.2.1.2</w:t>
      </w:r>
    </w:p>
    <w:p>
      <w:r>
        <w:t>En l'occurrence, l'existence d'un contrat d'entreprise entre les parties est un fait doublement pertinent. Il est déterminant pour la compétence, dans la mesure où ce contrat comporte une clause d'élection de for, et pour le fond, puisque les prétentions à l'encontre de la défenderesse ne peuvent être admises que si celle-ci est partie au contrat. Sans avoir administré les preuves, la cour cantonale a admis sa compétence, considérant que le contrat d'entreprise liait la défenderesse et que la clause d'élection de for que comportait celui-ci lui était donc opposable. Contrairement à ce que soutient la recourante, elle était parfaitement fondée à arriver à une telle conclusion sur la base des allégués de la demande et donc sans instruction complète sur la question de l'existence du contrat d'entreprise, en vertu de la théorie de la double pertinence. De même, il importe peu qu'il ressortirait de l'instruction au fond que seule X.________ SA était liée à la demanderesse, à l'exclusion de la défenderesse. Cette circonstance conduirait tout au plus au rejet de la demande par un jugement au fond, sans remise en cause de la compétence.</w:t>
      </w:r>
    </w:p>
    <w:p>
      <w:r>
        <w:rPr>
          <w:b/>
        </w:rPr>
        <w:t>E. 3.2.2</w:t>
      </w:r>
    </w:p>
    <w:p>
      <w:r>
        <w:t>Il s'impose ensuite d'examiner si la défenderesse, qui a soulevé l'exception d'incompétence</w:t>
      </w:r>
    </w:p>
    <w:p>
      <w:r>
        <w:t>ratione loci , peut remettre en cause l'admission de la compétence par le premier juge à l'occasion d'un appel contre le jugement final au fond.</w:t>
      </w:r>
    </w:p>
    <w:p>
      <w:r>
        <w:rPr>
          <w:b/>
        </w:rPr>
        <w:t>E. 3.2.2.1</w:t>
      </w:r>
    </w:p>
    <w:p>
      <w:r>
        <w:t>En vertu de l' art. 237 CPC , le tribunal peut rendre une décision incidente lorsque l'instance de recours pourrait prendre une décision contraire qui mettrait fin au procès et permettrait de réaliser une économie de temps ou de frais appréciable (al. 1). La décision incidente est sujette à recours immédiat; elle ne peut être attaquée ultérieurement dans le recours contre la décision finale (al. 2).</w:t>
      </w:r>
    </w:p>
    <w:p>
      <w:r>
        <w:rPr>
          <w:b/>
        </w:rPr>
        <w:t>E. 3.2.2.2</w:t>
      </w:r>
    </w:p>
    <w:p>
      <w:r>
        <w:t>En l'espèce, le jugement du 26 mars 2013, par lequel la Chambre patrimoniale a admis sa compétence sur la base de l'existence d'un contrat d'entreprise allégué par la demanderesse, est une décision incidente au sens de l' art. 237 al. 1 CPC . En tant que tel, il devait faire immédiatement l'objet d'un appel devant la cour cantonale (308 CPC), puis, cas échéant, d'un recours devant le Tribunal fédéral ( art. 92 LTF ), ne pouvant pas être attaqué ultérieurement ( art. 237 al. 2 CPC ). Il est à nouveau sans pertinence que la question de l'existence d'un contrat d'entreprise n'avait à l'époque encore fait l'objet d'aucune instruction au fond. En retenant que le jugement sur la compétence</w:t>
      </w:r>
    </w:p>
    <w:p>
      <w:r>
        <w:t>ratione loci ne pouvait plus être remis en cause dans le cadre de l'appel contre le jugement au fond, la cour cantonale n'a pas violé l' art. 237 CPC .</w:t>
      </w:r>
    </w:p>
    <w:p>
      <w:r>
        <w:rPr>
          <w:b/>
        </w:rPr>
        <w:t>E. 4</w:t>
      </w:r>
    </w:p>
    <w:p>
      <w:r>
        <w:t>La défenderesse recourante conteste encore sa légitimation passive (i.e. sa qualité pour défendre). Elle reproche également à la cour cantonale d'avoir violé l' art. 237 CPC précité, en n'admettant pas une " exception au caractère contraignant de la décision incidente " sur la compétence. Elle allègue qu'il ne lui était pas possible, au stade du jugement incident, de démontrer son absence de légitimation passive, ce qu'elle a toutefois pu démontrer dans la procédure au fond.</w:t>
      </w:r>
    </w:p>
    <w:p>
      <w:r>
        <w:rPr>
          <w:b/>
        </w:rPr>
        <w:t>E. 4.1</w:t>
      </w:r>
    </w:p>
    <w:p>
      <w:r>
        <w:t>Comme énoncé (cf. consid. 3.2.1.2), le contrat d'entreprise entre les parties est un fait doublement pertinent, puisqu'il est pertinent tant pour la compétence que pour le fond. Son existence, et partant l'obligation de la recourante de payer l'entrepreneur, doit donc faire l'objet d'une administration des preuves dans la phase du procès au fond. Ce qui a été décidé de manière incidente pour la compétence, sur la base des seuls allégués de la partie demanderesse, n'est ni final ni décisif pour ce qui sera décidé sur le fond.</w:t>
      </w:r>
    </w:p>
    <w:p>
      <w:r>
        <w:rPr>
          <w:b/>
        </w:rPr>
        <w:t>E. 4.2</w:t>
      </w:r>
    </w:p>
    <w:p>
      <w:r>
        <w:t>Selon l'arrêt entrepris, la Chambre patrimoniale a limité la procédure à la question de la compétence</w:t>
      </w:r>
    </w:p>
    <w:p>
      <w:r>
        <w:t>ratione loci par ordonnance du 17 février 2012. Compte tenu de cette limitation, il n'a pu y avoir, par jugement du 26 mars 2013, qu'une décision incidente sur la compétence et la défenderesse n'a pu renoncer, par son courrier du 23 août 2013, à contester cette décision qu'en rapport avec cette question. En effet, l'admission de l'existence d'un contrat d'entreprise par le juge dans ce contexte, avant toute instruction au fond, avait pour unique but d'admettre la compétence, soit la recevabilité de la demande. Or, la question de la légitimation passive ne concerne pas la recevabilité, mais le fond de la cause.</w:t>
      </w:r>
    </w:p>
    <w:p>
      <w:r>
        <w:t>Faute de décision incidente sur la légitimation passive dans son jugement incident, la Chambre patrimoniale ne pouvait, dans son jugement du 14 novembre 2016, refuser de traiter les objections soulevées à ce propos par la recourante, au motif que la question avait déjà été tranchée. De même, la cour cantonale ne pouvait considérer sans violer l' art. 237 al. 1 CPC que la question de la légitimation passive avait déjà été tranchée et aurait dû faire l'objet d'un recours immédiat.</w:t>
      </w:r>
    </w:p>
    <w:p>
      <w:r>
        <w:t>En conséquence de cette violation, la cause sera renvoyée à la cour cantonale pour suite de la procédure, afin notamment que la question de la légitimation passive de la défenderesse soit tranchée.</w:t>
      </w:r>
    </w:p>
    <w:p>
      <w:r>
        <w:rPr>
          <w:b/>
        </w:rPr>
        <w:t>E. 5</w:t>
      </w:r>
    </w:p>
    <w:p>
      <w:r>
        <w:t>Au vu de ce qui précède, nul n'est besoin de traiter les autres griefs de la recourante.</w:t>
      </w:r>
    </w:p>
    <w:p>
      <w:r>
        <w:t>Le recours de la défenderesse doit donc être admis, l'arrêt attaqué annulé et la cause renvoyée à la cour cantonale pour suite de la procédure. La demanderesse intimée ayant succombé, elle sera condamnée à payer les frais judiciaires et une indemnité de dépens à la défenderesse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