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4A_741/2012 vom 26. März 2013</w:t>
      </w:r>
    </w:p>
    <w:p>
      <w:r>
        <w:t>Bundesgericht, 2013-03-26, FR</w:t>
      </w:r>
    </w:p>
    <w:p>
      <w:r>
        <w:rPr>
          <w:b/>
        </w:rPr>
        <w:t xml:space="preserve">Quelle: </w:t>
      </w:r>
      <w:r>
        <w:t>https://mcp.opencaselaw.ch/entscheid/bger_4A_741_2012</w:t>
      </w:r>
    </w:p>
    <w:p>
      <w:r>
        <w:t>FR: TF 4A_741/2012 du 26 mars 2013</w:t>
      </w:r>
    </w:p>
    <w:p>
      <w:r>
        <w:t>IT: TF 4A_741/2012 del 26 marzo 2013</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est en l'occurrence déterminée par les conclusions d'appel ( art. 51 al. 1 let. a LTF ), soit 34'727 euros; elle excède donc le minimum légal de 30'000 fr. ( art. 74 al. 1 let. b LTF ).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2</w:t>
      </w:r>
    </w:p>
    <w:p>
      <w:r>
        <w:t>Le code de procédure civile unifié (CPC) est entré en vigueur le 1er janvier 2011 alors que la cause était pendante devant le Tribunal civil. Par l'effet des art. 404 al. 1 et 405 al. 1 CPC, la procédure de première instance est demeurée soumise au droit cantonal antérieur tandis que l'appel était régi par le code unifié.</w:t>
      </w:r>
    </w:p>
    <w:p>
      <w:r>
        <w:t>La Cour d'appel a refusé d'administrer des preuves nouvellement offertes et elle a également refusé de réinterroger des témoins déjà entendus par les premiers juges. La défenderesse lui fait grief d'avoir ainsi violé la maxime inquisitoire prétendument déterminante. Cette critique n'est pas fondée. Contrairement à l'argumentation présentée, les maximes à appliquer en appel étaient celles du code unifié, sans égard aux dispositions cantonales encore pertinentes en première instance. L'appel était donc soumis à la maxime des débats selon l' art. 55 al. 1 CPC . Des preuves nouvelles n'étaient recevables qu'à l'aune de l' art. 317 al. 1 CPC et il appartenait aux juges d'appel d'apprécier, sur la base de l' art. 316 al. 3 CPC , l'opportunité de réadministrer des preuves déjà introduites.</w:t>
      </w:r>
    </w:p>
    <w:p>
      <w:r>
        <w:rPr>
          <w:b/>
        </w:rPr>
        <w:t>E. 3</w:t>
      </w:r>
    </w:p>
    <w:p>
      <w:r>
        <w:t>Il est constant que les parties ont conclu un contrat de vente et que cet accord est régi par la Convention des Nations Unies sur les contrats de vente internationale de marchandises (CVIM; RS 0.221.211.1).</w:t>
      </w:r>
    </w:p>
    <w:p>
      <w:r>
        <w:t>La Cour d'appel juge que la machine vendue recelait un défaut et que la demanderesse n'a pas pu le découvrir avant la mise en service puis la panne de cet engin. Elle tient la défenderesse pour tenue à garantie et elle réduit le prix de vente selon l' art. 50 CVIM , proportionnellement à la différence entre la valeur de la machine vendue au moment de la livraison et la valeur qu'une machine sans défaut aurait eue au même moment. Elle constate cette valeur hypothétique d'après le prix consenti par l'acheteur final de la machine, soit 119'000 euros; elle constate la valeur réelle en imputant les frais de réparation, soit 34'727 euros, sur la valeur hypothétique. A l'issue de son calcul où entre encore le prix de 85'000 euros convenu entre les parties, elle réduit ce prix de 24'805 euros.</w:t>
      </w:r>
    </w:p>
    <w:p>
      <w:r>
        <w:rPr>
          <w:b/>
        </w:rPr>
        <w:t>E. 4</w:t>
      </w:r>
    </w:p>
    <w:p>
      <w:r>
        <w:t>Selon l'argumentation développée par la défenderesse, la valeur vénale d'une pelle mécanique de la marque et du modèle concernés, certes usagée mais presque neuve et « sans risque de panne », se situe entre 135'600 et 221'000 euros. Du prix de vente très inférieur convenu le 22 janvier 2008, soit 85'000 euros, l'acheteuse devait censément inférer que le contrat portait sur une machine grevée d'un risque particulier et que la garantie en raison des défauts était donc conventionnellement exclue.</w:t>
      </w:r>
    </w:p>
    <w:p>
      <w:r>
        <w:t>L'obligation de garantie en raison des défauts de la marchandise vendue est consacrée par l' art. 36 al. 1 CVIM ; l' art. 6 CVIM autorise les parties à convenir d'une vente sans garantie. Pour apprécier si les parties ont ou n'ont pas convenu d'exclure la garantie, il faut au besoin interpréter leurs déclarations ou autres manifestations de volonté selon les principes de l' art. 8 CVIM , lesquels, en substance, correspondent au principe de la confiance reconnu en droit suisse (cf. ATF 135 III 410 consid. 3.2 p. 412; 133 III 675 consid. 3.3 p. 681).</w:t>
      </w:r>
    </w:p>
    <w:p>
      <w:r>
        <w:t>En l'occurrence, les parties n'ont pas explicitement convenu d'une vente sans garantie, et le raisonnement par lequel la défenderesse prétend démontrer l'existence d'une convention tacite ne convainc pas. Seul un rabais très important et immédiatement reconnaissable lors de la conclusion du contrat, opéré sur la valeur objective de la marchandise, autorise éventuellement à présumer l'exclusion tacite de la garantie ordinairement due par le vendeur. Cela suppose que la valeur objective soit aisément reconnaissable par les deux cocontractants. Or, la défenderesse n'allègue une valeur « sans risque de panne » que de manière très approximative - entre 135'600 et 221'000 euros - et elle propose une expertise afin de l'établir; cette valeur n'est donc que difficilement reconnaissable. De surcroît, un rabais consenti par le vendeur ne peut être, tout au plus, que l'indice d'une exclusion conventionnelle de la garantie; l'exclusion devrait être corroborée par d'autres circonstances de la conclusion du contrat, en l'espèce inexistantes.</w:t>
      </w:r>
    </w:p>
    <w:p>
      <w:r>
        <w:t>La défenderesse fait grief à la Cour d'appel d'avoir indûment rejeté ses offres de preuve relatives à la valeur d'une machine « sans risque de panne » et d'avoir apprécié arbitrairement le témoignage recueilli à ce sujet par le Tribunal civil. Cette valeur n'était pas un fait déterminant pour l'issue de la cause. En conséquence, les autorités précédentes n'étaient pas tenues d'accueillir les offres de preuve supplémentaires destinées à l'établir et le moyen tiré d'une appréciation prétendument arbitraire des preuves effectivement administrées n'est pas recevable au regard de l' art. 97 al. 1 LTF .</w:t>
      </w:r>
    </w:p>
    <w:p>
      <w:r>
        <w:rPr>
          <w:b/>
        </w:rPr>
        <w:t>E. 5</w:t>
      </w:r>
    </w:p>
    <w:p>
      <w:r>
        <w:t>A titre subsidiaire, la défenderesse soutient que la garantie en raison des défauts était exclue selon un usage dont les deux parties avaient ou auraient dû avoir connaissance, largement connu et régulièrement observé dans le commerce international des machines usagées; elle se réfère ici à l' art. 9 al. 2 CVIM . La demanderesse a prétendument admis l'existence de cet usage lors de l'audience préliminaire devant le Président du Tribunal civil. Le procès-verbal mentionne un aveu transcrit comme suit:</w:t>
      </w:r>
    </w:p>
    <w:p>
      <w:r>
        <w:t>La demanderesse [...] admet indivisiblement que les machines de chantier d'occasion sont en général vendues sans garantie, le vendeur précisant toutefois si la machine est accidentée ou présente un défaut connu de lui, ce qui correspond à la pratique de la demanderesse.</w:t>
      </w:r>
    </w:p>
    <w:p>
      <w:r>
        <w:t>L'usage ainsi reconnu par la demanderesse n'exclut donc pas la garantie en raison des défauts aussi dans le cas où le vendeur garde le silence sur des accidents ou sabotages que la machine vendue a subis et dont il a connaissance. Ce cas est celui de la vente dont est discussion car en l'état de la cause, la défenderesse ne prétend plus avoir averti la demanderesse du sabotage perpétré sur la pelle mécanique. La clause « en l'état, sans garantie » que la défenderesse a acceptée lors de sa propre acquisition ne prouve en aucune manière un usage largement connu et régulièrement observé dans le commerce international.</w:t>
      </w:r>
    </w:p>
    <w:p>
      <w:r>
        <w:rPr>
          <w:b/>
        </w:rPr>
        <w:t>E. 6</w:t>
      </w:r>
    </w:p>
    <w:p>
      <w:r>
        <w:t>La défenderesse soutient encore que les frais de réparation de la machine, chiffrés à 34'727 euros, n'ont pas été dûment prouvés. Or, des preuves ont été administrées et leur appréciation est discutée dans la décision attaquée. Contrairement à l'argumentation présentée, il n'apparaît pas que la demanderesse ait bénéficié d'un quelconque allégement de la preuve. Pour le surplus, l'appréciation n'est critiquée que par simples dénégations ou protestations, ce qui est inapte à mettre en évidence un résultat manifestement inexact; le Tribunal fédéral n'entre donc pas en matière.</w:t>
      </w:r>
    </w:p>
    <w:p>
      <w:r>
        <w:rPr>
          <w:b/>
        </w:rPr>
        <w:t>E. 7</w:t>
      </w:r>
    </w:p>
    <w:p>
      <w:r>
        <w:t>Il est reproché à la Cour d'appel d'avoir statué au delà des conclusions de la demanderesse en donnant mainlevée de l'opposition au commandement de payer pour un montant en francs, alors que lesdites conclusions n'étaient libellées qu'en euros.</w:t>
      </w:r>
    </w:p>
    <w:p>
      <w:r>
        <w:t>L'obligation litigieuse portait sur des euros et la prétention reconnue à la demanderesse est correctement libellée dans cette monnaie. Pour les besoins de l'exécution forcée en Suisse, la prétention est convertie en francs et l'opposition est levée pour le montant issu de la conversion, ce qui est exactement conforme à la jurisprudence relative à l' art. 67 al. 1 ch. 3 LP ( ATF 134 III 151 consid. 2.4 p. 155/156). La défenderesse fait allusion à un problème de procédure civile dont la Cour d'appel n'avait pas à se préoccuper: le juge peut-il allouer une prétention dans la monnaie étrangère effectivement due alors qu'il est saisi de conclusions libellées en francs (même arrêt, consid. 2.4 in fine p. 156) ? Dans la présente contestation, la monnaie réclamée correspondait à la monnaie due.</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