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4A_73/2023 vom 21. März 2023</w:t>
      </w:r>
    </w:p>
    <w:p>
      <w:r>
        <w:t>Bundesgericht, 2023-03-21, DE</w:t>
      </w:r>
    </w:p>
    <w:p>
      <w:r>
        <w:rPr>
          <w:b/>
        </w:rPr>
        <w:t xml:space="preserve">Quelle: </w:t>
      </w:r>
      <w:r>
        <w:t>https://mcp.opencaselaw.ch/entscheid/bger_4A_73_2023</w:t>
      </w:r>
    </w:p>
    <w:p>
      <w:r>
        <w:t>FR: TF 4A_73/2023 du 21 mars 2023</w:t>
      </w:r>
    </w:p>
    <w:p>
      <w:r>
        <w:t>IT: TF 4A_73/2023 del 21 marzo 2023</w:t>
      </w:r>
    </w:p>
    <w:p>
      <w:pPr>
        <w:pStyle w:val="Heading2"/>
      </w:pPr>
      <w:r>
        <w:t>Erwägungen</w:t>
      </w:r>
    </w:p>
    <w:p>
      <w:r>
        <w:rPr>
          <w:b/>
        </w:rPr>
        <w:t>E. 1.1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 138 III 799 E. 1.1).</w:t>
      </w:r>
    </w:p>
    <w:p>
      <w:r>
        <w:rPr>
          <w:b/>
        </w:rPr>
        <w:t>E. 1.2</w:t>
      </w:r>
    </w:p>
    <w:p>
      <w:r>
        <w:t>Die Beschwerde hat ein Rechtsbegehren zu enthalten ( Art. 42 Abs. 1 BGG ). Da die Beschwerde an das Bundesgericht ein reformatorisches Rechtsmittel ist ( Art. 107 Abs. 2 BGG ), darf sich die Beschwerdeführerin grundsätzlich nicht darauf beschränken, die Aufhebung des angefochtenen Urteils zu beantragen, sondern muss einen Antrag in der Sache stellen. Anträge auf Rückweisung der Sache an die Vorinstanz zur neuen Entscheidung oder blosse Aufhebungsanträge genügen nicht und machen die Beschwerde unzulässig ( BGE 134 III 379 E. 1.3; 133 III 489 E. 3.1).</w:t>
      </w:r>
    </w:p>
    <w:p>
      <w:r>
        <w:t>Die Beschwerdeführerin stellt lediglich einen Aufhebungsantrag, was ungenügend ist. Aus der Beschwerdebegründung, die zur Auslegung des Rechtsbegehrens beigezogen werden kann ( BGE 136 V 131 E. 1.2), ergibt sich jedoch, dass sie die Abweisung der Klage anstrebt. Das Rechtsbegehren ist in diesem Sinne auszulegen, so dass auf die Beschwerde trotz mangelhaft formuliertem Rechtsbegehren eingetreten werden könnte.</w:t>
      </w:r>
    </w:p>
    <w:p>
      <w:r>
        <w:rPr>
          <w:b/>
        </w:rPr>
        <w:t>E. 1.3</w:t>
      </w:r>
    </w:p>
    <w:p>
      <w:r>
        <w:t>Die Beschwerde verfehlt jedoch durchwegs die Anforderungen an eine rechtsgenügliche Begründung, wie nachstehend aufgezeigt wird.</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Die Begründung hat ferner in der Beschwerdeschrift selbst zu erfolgen und der blosse Verweis auf Ausführungen in anderen Rechtsschriften oder auf die Akten reicht nicht aus ( BGE 143 II 283 .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146 IV 88 E. 1.3.1; 141 III 564 E. 4.1;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w:t>
      </w:r>
    </w:p>
    <w:p>
      <w:r>
        <w:t>Die Beschwerdeschrift genügt den dargelegten Anforderungen nicht. Die Beschwerdeführerin verkennt, dass das Bundesgericht auch bei der Beurteilung von Beschwerden gegen Urteile der kantonalen Handelsgerichte keine Appellationsinstanz ist. Im Einzelnen:</w:t>
      </w:r>
    </w:p>
    <w:p>
      <w:r>
        <w:t>Die von der Vorinstanz mit überzeugender Begründung bejahte Aktivlegitimation der Beschwerdegegnerin stellt die Beschwerdeführerin zu Recht nicht mehr in Frage.</w:t>
      </w:r>
    </w:p>
    <w:p>
      <w:r>
        <w:t>Hingegen scheint sie an ihrem Einwand festzuhalten, die beschlossene Dividendenausschüttung könne nur erfolgen, wenn das Eigenkapital mindestens Fr. 450'000.-- betrage, was nicht zutreffe. Auf ihre diesbezüglichen Vorbringen, mit denen sie den vorinstanzlichen Erwägungen ohne nachvollziehbare Auseinandersetzung ihre eigene - teilweise schwer verständliche - Auffassung entgegensetzt, kann nicht eingetreten werden. Das gilt umso mehr, als sie sich dabei auf einen Sachverhalt stützt, der von den verbindlichen Feststellungen der Vorinstanz abweicht bzw. darüber hinausgeht, im Einzelnen aber keine rechtsgenüglichen Sachverhaltsrügen formuliert und, soweit sie den Sachverhalt ergänzt, keine präzisen Aktenhinweise anbringt, sondern pauschal auf ihre Rechtsschriften verweist (vgl. E. 2.2).</w:t>
      </w:r>
    </w:p>
    <w:p>
      <w:r>
        <w:t>Ungenügend begründet ist auch die Willkürrüge, mit der sie der Vorinstanz vorwirft, sie habe verkannt, dass "E.________ mit dolus" verschiedene im Aktienkaufvertrag festgehaltene Verpflichtungen missachtet habe. Die Entscheidrelevanz bleibt unerklärt, zumal E.________ nicht Vertragspartei des Aktienkaufvertrags war.</w:t>
      </w:r>
    </w:p>
    <w:p>
      <w:r>
        <w:t>Auch die Rüge einer willkürlichen antizipierten Beweiswürdigung kann nicht nachvollzogen werden. Die pauschalen Verweise auf die Klageantwort und die Duplik sind unzureichend. Die Beschwerdeführerin vermag die geltend gemachten Rechtsverletzungen ( Art. 157 ZPO , Art. 153 ZPO , Art. 9 und Art. 29 BV ) nicht klar und detailliert darzulegen (vgl. E. 2.3 hiervor). Mit der Geltendmachung von Art. 153 ZPO verkennt sie zudem, dass im vorliegenden Fall das Gericht den Sachverhalt nicht von Amtes wegen festzustellen hat. Unzutreffend ist sodann die Behauptung, die Vorinstanz habe "gänzlich auf Beweiserhebungen verzichtet". Sie hat die eingereichten Unterlagen durchaus gewürdigt. Wenn die Beschwerdeführerin es sodann als stossend beanstandet, dass weder eine Parteibefragung noch eine Instruktionsverhandlung durchgeführt und sogar das Fehlen des rechtsgeschäftlichen Vertreters der Beschwerdegegnerin akzeptiert worden sei, zeigt sie nicht konkret auf, inwiefern das angefochtene Urteil an einer Bundesrechtsverletzung leidet, sondern erhebt unsubstanziierte Kritik, auf die das Bundesgericht nicht eintreten kann.</w:t>
      </w:r>
    </w:p>
    <w:p>
      <w:r>
        <w:rPr>
          <w:b/>
        </w:rPr>
        <w:t>E. 4</w:t>
      </w:r>
    </w:p>
    <w:p>
      <w:r>
        <w:t>Auf die unzureichend begründete Beschwerde ist nicht einzutreten. Dementsprechend wird die Beschwerdeführerin kostenpflichtig ( Art. 66 Abs. 1 BGG ). Der Beschwerdegegnerin ist mangels Einholung einer Vernehmlassung kein entschädigungspflichtiger Aufwand entstanden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