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726/2011 vom 10. April 2012</w:t>
      </w:r>
    </w:p>
    <w:p>
      <w:r>
        <w:t>Bundesgericht, 2012-04-10, DE</w:t>
      </w:r>
    </w:p>
    <w:p>
      <w:r>
        <w:rPr>
          <w:b/>
        </w:rPr>
        <w:t xml:space="preserve">Quelle: </w:t>
      </w:r>
      <w:r>
        <w:t>https://mcp.opencaselaw.ch/entscheid/bger_4A_726_2011</w:t>
      </w:r>
    </w:p>
    <w:p>
      <w:r>
        <w:t>FR: TF 4A 726/2011 du 10 avril 2012</w:t>
      </w:r>
    </w:p>
    <w:p>
      <w:r>
        <w:t>IT: TF 4A 726/2011 del 10 aprile 2012</w:t>
      </w:r>
    </w:p>
    <w:p>
      <w:pPr>
        <w:pStyle w:val="Heading2"/>
      </w:pPr>
      <w:r>
        <w:t>Regeste</w:t>
      </w:r>
    </w:p>
    <w:p>
      <w:r>
        <w:t>fristlose Entlassung | Vertragsrecht</w:t>
      </w:r>
    </w:p>
    <w:p>
      <w:pPr>
        <w:pStyle w:val="Heading2"/>
      </w:pPr>
      <w:r>
        <w:t>Erwägungen</w:t>
      </w:r>
    </w:p>
    <w:p>
      <w:r>
        <w:rPr>
          <w:b/>
        </w:rPr>
        <w:t>E. 1</w:t>
      </w:r>
    </w:p>
    <w:p>
      <w:r>
        <w:t>Das Bundesgericht prüft von Amtes wegen und mit freier Kognition, ob ein Rechtsmittel zulässig ist ( BGE 137 III 417 E. 1; 136 II 436 E. 1, 101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15'000.-- (Art. 51 i.V.m. Art. 74 Abs. 1 lit. a BGG ) und die Beschwerdefrist ist eingehalten ( Art. 100 Abs. 1 BGG ). Auf die Beschwerde ist somit unter Vorbehalt einer hinreichenden Begründung (Art. 42 Abs. 2 i.V.m. Art. 106 Abs. 2 BGG ; vgl. E. 1.2) einzutreten.</w:t>
      </w:r>
    </w:p>
    <w:p>
      <w:r>
        <w:rPr>
          <w:b/>
        </w:rPr>
        <w:t>E. 1.2.1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133 III 393 E. 6, 439 E. 3.2).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121 III 397 E. 2a; 116 II 745 E. 3 S. 749).</w:t>
      </w:r>
    </w:p>
    <w:p>
      <w:r>
        <w:rPr>
          <w:b/>
        </w:rPr>
        <w:t>E. 1.2.2</w:t>
      </w:r>
    </w:p>
    <w:p>
      <w:r>
        <w:t>Diese Grundsätze verkennt die Beschwerdeführerin teilweise. So wirft sie der Vorinstanz vor, diese habe zu Unrecht angebliche Rechtsverletzungen des erstinstanzlichen Gerichts geschützt. Auf die dazu erfolgten Ausführungen der Vorinstanz geht sie indessen nicht ein. Die Vorinstanz hat etwa dargelegt, weshalb das erstinstanzliche Gericht seine Fragepflicht nicht verletzt hat. Die Beschwerdeführerin zeigt nicht auf, inwiefern diese Erwägungen unzutreffend seien, sondern beschränkt sich auf die erneute Bekräftigung ihres bereits vor der Vorinstanz eingenommenen Standpunktes. Dies genügt den Begründungsanforderungen nicht. Auf diese Rügen ist deshalb nicht einzutreten.</w:t>
      </w:r>
    </w:p>
    <w:p>
      <w:r>
        <w:rPr>
          <w:b/>
        </w:rPr>
        <w:t>E. 2</w:t>
      </w:r>
    </w:p>
    <w:p>
      <w:r>
        <w:t>Die Beschwerdeführerin rügt, die Vorinstanz habe den Sachverhalt unrichtig festgestellt.</w:t>
      </w:r>
    </w:p>
    <w:p>
      <w:r>
        <w:rPr>
          <w:b/>
        </w:rPr>
        <w:t>E. 2.1</w:t>
      </w:r>
    </w:p>
    <w:p>
      <w:r>
        <w:t>Das Bundesgericht legt seinem Urteil den Sachverhalt zugrunde, den die Vorinstanz festgestellt hat ( Art. 105 Abs. 1 BGG ). Zu dem von der Vorinstanz grundsätzlich verbindlich festgestellten Sachverhalt gehören nicht nur die Feststellungen über den Lebenssachverhalt, der dem Streitgegenstand zugrunde liegt, sondern auch jene über den Ablauf des vorinstanzlichen und des diesem vorangegangenen Verfahrens, wie namentlich die Parteivorbringen, also die Feststellungen über den Prozesssachverhalt (Urteile 4A_210/2009 vom 7. April 2010 E. 2; 4A_451/2011 vom 29. November 2011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255; 133 III 393 E. 7.1, 462 E. 2.4).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118 Ia 28 E. 1b). Auf eine Kritik an den tatsächlichen Feststellungen der Vorinstanz, die diesen Anforderungen nicht genügt, namentlich auf bloss appellatorische Vorbringen, ist nicht einzutreten (vgl. BGE 133 II 249 E. 1.4.3, 396 E. 3.1 S. 399), ebenso wenig auf Vorbringen, die in den tatsächlichen Feststellungen der Vorinstanz keine Stütze finden, ohne dass dazu eine taugliche Sachverhaltsrüge im vorstehenden Sinne substanziiert wird, oder auf Rügen, die auf solchen Vorbringen aufbauen.</w:t>
      </w:r>
    </w:p>
    <w:p>
      <w:r>
        <w:rPr>
          <w:b/>
        </w:rPr>
        <w:t>E. 2.2</w:t>
      </w:r>
    </w:p>
    <w:p>
      <w:r>
        <w:t>Auch diese Grundsätze verkennt die Beschwerdeführerin in mehrfacher Hinsicht:</w:t>
      </w:r>
    </w:p>
    <w:p>
      <w:r>
        <w:rPr>
          <w:b/>
        </w:rPr>
        <w:t>E. 2.2.1</w:t>
      </w:r>
    </w:p>
    <w:p>
      <w:r>
        <w:t>Die Beschwerdeführerin rügt insbesondere, es müsse entgegen den vorinstanzlichen Feststellungen davon ausgegangen werden, dass der Beschwerdegegner Mieteinnahmen von Fr. 4'500.-- für sich behalten habe. In ihrer Begründung beschränkt sich die Beschwerdeführerin dabei weitgehend auf die Darstellung des Sachverhalts aus eigener Sicht, wobei sie den vorinstanzlich festgestellten Sachverhalt beliebig erweitert, ohne dazu rechtsgenügliche Rügen im obenstehenden Sinn zu erheben. Die Beschwerdeführerin bezeichnet die vorinstanzlichen Feststellungen mehrfach als falsch, ohne indessen auf diese einzugehen und im Einzelnen aufzuzeigen, inwiefern sie geradezu willkürlich sein sollen. Auf solche und darauf aufbauende Rügen kann nicht eingetreten werden.</w:t>
      </w:r>
    </w:p>
    <w:p>
      <w:r>
        <w:rPr>
          <w:b/>
        </w:rPr>
        <w:t>E. 2.2.2</w:t>
      </w:r>
    </w:p>
    <w:p>
      <w:r>
        <w:t>Die Beschwerdeführerin rügt weiter, die Vorinstanz habe fälschlicherweise festgestellt, sie hätte an einer Verhandlung vor dem erstinstanzlichen Gericht nach einer neuen Darstellung der Tatsachen durch den Beschwerdegegner noch zweimal das Wort erhalten, ohne zu dieser neuen Darstellung Stellung zu nehmen. Auch hier beschränkt sich die Beschwerdeführerin im Wesentlichen darauf, die Feststellung des Prozesssachverhalts durch die Vorinstanz als falsch zu bezeichnen, den Sachverhalt frei zu ergänzen und gestützt darauf zu behaupten, ihre Aussagen hätten als Bestreitung der neuen Darstellung und Offerte neuer Beweismittel gedeutet werden müssen. Dies genügt den Begründungsanforderungen nicht, womit sowohl auf die Sachverhaltsrüge als auch auf die darauf aufbauenden Rügen nicht einzutreten ist.</w:t>
      </w:r>
    </w:p>
    <w:p>
      <w:r>
        <w:rPr>
          <w:b/>
        </w:rPr>
        <w:t>E. 3</w:t>
      </w:r>
    </w:p>
    <w:p>
      <w:r>
        <w:t>Die Beschwerdeführerin rügt schliesslich, die Vorinstanz habe übersehen, dass der Beschwerdegegner im August 2009 bereits wegen Ungereimtheiten in der Buchhaltung verwarnt worden und diesem für den Fall der Wiederholung die Kündigung angedroht worden sei. Sie sei deshalb zur fristlosen Kündigung berechtigt gewesen, als sich Mitte Oktober 2009 herausgestellt habe, dass die Mieteinnahmen von drei Events nicht richtig verbucht worden seien. Es sei ihr nicht zuzumuten gewesen, dem Beschwerdegegner noch länger Zugriff zum Buchungssystem, den Einnahmen und dem Safe zu gewähren und damit auch das Risiko einzugehen, dass dieser Spuren verwische.</w:t>
      </w:r>
    </w:p>
    <w:p>
      <w:r>
        <w:rPr>
          <w:b/>
        </w:rPr>
        <w:t>E. 3.1</w:t>
      </w:r>
    </w:p>
    <w:p>
      <w:r>
        <w:t>Nach Art. 337 OR kann der Arbeitgeber wie der Arbeitnehmer das Arbeitsverhältnis aus wichtigen Gründen jederzeit fristlos auflösen.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 BGE 130 III 28 E. 4.1 S. 31, 213 E. 3.1; 129 III 380 E. 2.1 mit Hinweisen). Sind die Verfehlungen weniger schwerwiegend, so müssen sie trotz Verwarnung wiederholt vorgekommen sein ( BGE 130 III 213 E. 3.1 S. 221; 129 III 380 E. 2.1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3.2</w:t>
      </w:r>
    </w:p>
    <w:p>
      <w:r>
        <w:t>Die Vorinstanz hat festgestellt, der Beschwerdegegner sei am 11. August 2009 wegen finanzieller Unregelmässigkeiten, mangelhafter Durchführung der Inventur und mangelnder Präsenz schriftlich verwarnt worden. Die Vorinstanz hat weiter festgestellt, die Aussagen des Beschwerdegegners im erstinstanzlichen Verfahren seien zwar nicht durchwegs überzeugend, doch habe er recht kohärente Aussagen zur Frage gemacht, wie er die Eventeinnahmen verbucht habe, nämlich in den drei Sparten Bar, Restaurant und Eventpauschale. Trotz gewisser Ungereimtheiten sei es für das erstinstanzliche Gericht nicht auszuschliessen gewesen, dass der Beschwerdegegner die entgegengenommenen Mieteinnahmen auf verschiedene Sparten verteilt und verbucht habe.</w:t>
      </w:r>
    </w:p>
    <w:p>
      <w:r>
        <w:rPr>
          <w:b/>
        </w:rPr>
        <w:t>E. 3.3</w:t>
      </w:r>
    </w:p>
    <w:p>
      <w:r>
        <w:t>Die Beschwerdeführerin macht sinngemäss geltend, selbst wenn eine schwerwiegende Verfehlung des Beschwerdegegners nicht nachgewiesen sei, so sei sie doch wegen wiederholter weniger schwerwiegender Verfehlungen zur fristlosen Entlassung berechtigt gewesen. Nach den vorinstanzlichen Feststellungen ist indessen gerade nicht erwiesen, dass der Beschwerdegegner die Mietzinseinnahmen nicht verbucht habe. Die blosse Tatsache, dass der Beschwerdegegner die Mietzinseinnahmen möglicherweise buchhalterisch nicht korrekt verbucht hatte, ist für sich allein noch keine Verfehlung, die im Wiederholungsfall eine fristlose Entlassung zu rechtfertigen vermag. Die Vorinstanz hat somit ihr Ermessen nicht überschritten, wenn sie das Vorliegen der Voraussetzungen für eine fristlose Entlassung verneinte. Die Rüge ist unbegründet.</w:t>
      </w:r>
    </w:p>
    <w:p>
      <w:r>
        <w:rPr>
          <w:b/>
        </w:rPr>
        <w:t>E. 4</w:t>
      </w:r>
    </w:p>
    <w:p>
      <w:r>
        <w:t>Nach dem Gesagten ist die Beschwerde abzuweisen, soweit darauf einzutreten ist. Damit wird die Beschwerdeführerin kosten- und entschädigungspflichtig ( Art. 66 Abs. 1 sowie Art. 68 Abs. 2 BGG ). Für die Gerichtskosten kommt ein reduzierter Ansatz zur Anwendung, da es sich um eine Streitigkeit aus einem Arbeitsverhältnis mit einem Streitwert bis zu Fr. 30'000.-- handelt ( Art. 65 Abs. 4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