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725/2016 vom 9. Januar 2017</w:t>
      </w:r>
    </w:p>
    <w:p>
      <w:r>
        <w:t>Bundesgericht, 2017-01-09, DE</w:t>
      </w:r>
    </w:p>
    <w:p>
      <w:r>
        <w:rPr>
          <w:b/>
        </w:rPr>
        <w:t xml:space="preserve">Quelle: </w:t>
      </w:r>
      <w:r>
        <w:t>https://mcp.opencaselaw.ch/entscheid/bger_4A_725_2016</w:t>
      </w:r>
    </w:p>
    <w:p>
      <w:r>
        <w:t>FR: TF 4A 725/2016 du 9 janvier 2017</w:t>
      </w:r>
    </w:p>
    <w:p>
      <w:r>
        <w:t>IT: TF 4A 725/2016 del 9 gennaio 2017</w:t>
      </w:r>
    </w:p>
    <w:p>
      <w:pPr>
        <w:pStyle w:val="Heading2"/>
      </w:pPr>
      <w:r>
        <w:t>Regeste</w:t>
      </w:r>
    </w:p>
    <w:p>
      <w:r>
        <w:t>Gesellschaftsrecht; Organisationsmangel | Gesellschaftsrecht</w:t>
      </w:r>
    </w:p>
    <w:p>
      <w:pPr>
        <w:pStyle w:val="Heading2"/>
      </w:pPr>
      <w:r>
        <w:t>Volltext</w:t>
      </w:r>
    </w:p>
    <w:p>
      <w:r>
        <w:t>Bundesgericht I. Zivilrechtliche Abteilung 09.01.2017 4A 725/2016 (4A_725/2016) Tribunal fédéral Ire Cour de droit civil 09.01.2017 4A 725/2016 (4A_725/2016) Tribunale federale I Corte di diritto civile 09.01.2017 4A 725/2016 (4A_725/2016)</w:t>
      </w:r>
    </w:p>
    <w:p>
      <w:r>
        <w:t>Gesellschaftsrecht; Organisationsmangel | Gesellschaftsrecht</w:t>
      </w:r>
    </w:p>
    <w:p>
      <w:r>
        <w:t>Bundesgericht Tribunal fédéral Tribunale federale Tribunal federal {T 0/2} 4A_725/2016 Urteil vom 9. Januar 2017 I. zivilrechtliche Abteilung Besetzung Bundesrichterin Kiss, Präsidentin, Gerichtsschreiber Th. Widmer. Verfahrensbeteiligte A.________ gmbh, Beschwerdeführerin, gegen Handelsregisteramt des Kantons Zürich, Beschwerdegegner. Gegenstand Gesellschaftsrecht, Organisationsmangel, Beschwerde gegen das Urteil des Handelsgerichts des Kantons Zürich, Einzelgericht, vom 20. Oktober 2016. In Erwägung, dass der Einzelrichter am Handelsgericht des Kantons Zürich mit Urteil vom 20. Oktober 2016 gestützt auf Art. 819 OR i.V.m. Art. 731b Abs. 1 Ziff. 3 OR die Auflösung der Beschwerdeführerin und deren Liquidation nach den Vorschriften über den Konkurs anordnete, nachdem er der Beschwerdeführerin auf dem Ediktalweg erfolglos Frist zur Behebung des Organisationsmangels (keine eingetragene vertretungsberechtigte Person mit Wohnsitz in der Schweiz [ Art. 814 Abs. 3 und 6 OR ], kein gültiges Domizil) angesetzt hatte; dass die Beschwerdeführerin dagegen mit Eingabe vom 20. Dezember 2016 beim Bundesgericht Beschwerde erhob mit dem Antrag, von einer Löschung der Gesellschaft im Handelsregister abzusehen; dass eine Beschwerde an das Bundesgericht innerhalb von 30 Tagen nach der Eröffnung der vollständigen Ausfertigung des angefochtenen Entscheids beim Bundesgericht erhoben werden muss ( Art. 100 Abs. 1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die Mitteilung des angefochtenen Urteils an die Beschwerdeführerin durch Publikation im Amtsblatt des Kantons Zürich vom 28. Oktober 2016 erfolgte und die Zustellung demnach an diesem Tag als erfolgt gilt ( Art. 141 Abs. 2 ZPO ); dass die Eingabe vom 20. Dezember 2016 somit für eine Beschwerdeerhebung an das Bundesgericht offensichtlich verspätet erfolgte; dass somit auf die Beschwerde wegen Verspätung nicht eingetreten werden kann ( Art. 108 Abs. 1 lit. a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vom 20. Dezember 2016 offensichtlich keine diesen Anforderungen genügende Begründung enthält, weshalb auf die Beschwerde auch nicht eingetreten werden könnte, wenn sie fristgerecht eingereicht worden wäre ( Art. 108 Abs. 1 lit. b BGG ); dass es der Beschwerdeführerin frei steht, beim Handelsgericht ein Gesuch um Wiederherstellung der Frist zur Behebung des Organisationsmangels im Sinne von Art. 148 ZPO zu erheben; dass ausnahmsweise auf die Erhebung von Gerichtskosten zu verzichten ist (Art. 66 Abs. 1 zweiter Satz BGG); dass keine Parteientschädigung zuzusprechen ist ( Art. 68 BGG ); erkennt die Präsidentin: 1. Auf die Beschwerde wird nicht eingetreten. 2. Es werden keine Gerichtskosten erhoben und es wird keine Parteientschädigung gesprochen. 3. Dieses Urteil wird den Parteien und dem Handelsgericht des Kantons Zürich, Einzelgericht, schriftlich mitgeteilt. Lausanne, 9. Januar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