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71/2023 vom 2. März 2023</w:t>
      </w:r>
    </w:p>
    <w:p>
      <w:r>
        <w:t>Bundesgericht, 2023-03-02, DE</w:t>
      </w:r>
    </w:p>
    <w:p>
      <w:r>
        <w:rPr>
          <w:b/>
        </w:rPr>
        <w:t xml:space="preserve">Quelle: </w:t>
      </w:r>
      <w:r>
        <w:t>https://mcp.opencaselaw.ch/entscheid/bger_4A_71_2023</w:t>
      </w:r>
    </w:p>
    <w:p>
      <w:r>
        <w:t>FR: TF 4A 71/2023 du 2 mars 2023</w:t>
      </w:r>
    </w:p>
    <w:p>
      <w:r>
        <w:t>IT: TF 4A 71/2023 del 2 marzo 2023</w:t>
      </w:r>
    </w:p>
    <w:p>
      <w:pPr>
        <w:pStyle w:val="Heading2"/>
      </w:pPr>
      <w:r>
        <w:t>Regeste</w:t>
      </w:r>
    </w:p>
    <w:p>
      <w:r>
        <w:t>Befehl, | Gesellschaftsrecht</w:t>
      </w:r>
    </w:p>
    <w:p>
      <w:pPr>
        <w:pStyle w:val="Heading2"/>
      </w:pPr>
      <w:r>
        <w:t>Erwägungen</w:t>
      </w:r>
    </w:p>
    <w:p>
      <w:r>
        <w:rPr>
          <w:b/>
        </w:rPr>
        <w:t>E. 1</w:t>
      </w:r>
    </w:p>
    <w:p>
      <w:r>
        <w:t>Mit Beschluss und Urteil vom 7. Dezember 2022 verbot das Handelsgericht des Kantons Zürich der D.________ AB (Beklagten 1) bzw. ihren verantwortlichen Organen, bei der B.________ AG (Klägerin 1; Beschwerdegegnerin 1) Aktionärsrechte auszuüben, insbesondere Generalversammlungen der Klägerin 1 durchzuführen oder an der Fassung von Beschlüssen mitzuwirken. Es verbot A.A.________ (Beklagter 2; Beschwerdeführer) und B.A.________ (Beklagte 3), Generalversammlungen der Klägerin 1 durchzuführen, ohne Zustimmung der C.________ Stiftung (Klägerin 2; Beschwerdegegnerin 2) an Generalversammlungen der Klägerin 1 mitzuwirken, einem Mitglied des Verwaltungsrats vorbehaltene Handlungen für die Klägerin 1 vorzunehmen oder einem Mitglied des Verwaltungsrats vorbehaltene Erklärungen für die Klägerin 1 abzugeben. Gleichzeitig traf das Handelsgericht Vollstreckungsmassnahmen für die Verbote, trat auf die Widerklagen der Beklagten 1 und 2 nicht ein, wies die prozessualen Anträge der Beklagten ab und wies das Gesuch der Beklagten 3 um Gewährung der unentgeltlichen Rechtspflege ab, soweit es darauf eintrat. Gegen den Beschluss und das Urteil des Handelsgerichts erhebt der Beschwerdeführer mit Eingabe vom 25. Januar 2023 Beschwerde in Zivilsachen an das Bundesgericht. Das Gesuch um aufschiebende Wirkung wird mit dem Entscheid in der Sache gegenstandslos. 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Diesen Begründungsanforderungen genügt die Eingabe des Beschwerdeführers offensichtlich nicht. Er behauptet darin zwar, der Entscheid der Vorinstanz sei willkürlich und verstosse gegen Art. 5 und Art. 30 BV und ruft eine Vielzahl von weiteren Bestimmungen an. Er legt vor Bundesgericht aber bloss in frei gehaltenen Ausführungen seine Sicht der Dinge dar, ohne indessen auf die ausführlichen Erwägungen der Vorinstanz hinreichend konkret einzugehen, geschweige denn nachvollziehbar aufzuzeigen, inwiefern diese die angerufenen Bestimmungen verletzt haben soll. 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