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4A_71/2015 vom 10. September 2015</w:t>
      </w:r>
    </w:p>
    <w:p>
      <w:r>
        <w:t>Bundesgericht, 2015-09-10, FR</w:t>
      </w:r>
    </w:p>
    <w:p>
      <w:r>
        <w:rPr>
          <w:b/>
        </w:rPr>
        <w:t xml:space="preserve">Quelle: </w:t>
      </w:r>
      <w:r>
        <w:t>https://mcp.opencaselaw.ch/entscheid/bger_4A_71_2015</w:t>
      </w:r>
    </w:p>
    <w:p>
      <w:r>
        <w:t>FR: TF 4A_71/2015 du 10 septembre 2015</w:t>
      </w:r>
    </w:p>
    <w:p>
      <w:r>
        <w:t>IT: TF 4A_71/2015 del 10 settembre 2015</w:t>
      </w:r>
    </w:p>
    <w:p>
      <w:pPr>
        <w:pStyle w:val="Heading2"/>
      </w:pPr>
      <w:r>
        <w:t>Erwägungen</w:t>
      </w:r>
    </w:p>
    <w:p>
      <w:r>
        <w:rPr>
          <w:b/>
        </w:rPr>
        <w:t>E. 1</w:t>
      </w:r>
    </w:p>
    <w:p>
      <w:r>
        <w:t>Les conditions de recevabilité du recours en matière civile sont satisfaites, notamment à raison de la valeur litigieuse.</w:t>
      </w:r>
    </w:p>
    <w:p>
      <w:r>
        <w:rPr>
          <w:b/>
        </w:rPr>
        <w:t>E. 2</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140 III 86 consid. 2 p. 88; 135 III 397 consid. 1.4 p. 400; 133 II 249 consid. 1.4.1 p. 254).</w:t>
      </w:r>
    </w:p>
    <w:p>
      <w:r>
        <w:t>Le tribunal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140 III 264 consid. 2.3 p. 266; 137 I 58 consid. 4.1.2 p. 62; 133 II 249 consid. 1.1.2 p. 252). La partie recourante est autorisée à attaquer des constatations de fait ainsi irrégulières si la correction du vice est susceptible d'influer sur le sort de la cause ( art. 97 al. 1 LTF ).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 ATF 140 III 264 consid. 2.3 p. 266; 137 I 58 consid. 4.1.2 p. 62).</w:t>
      </w:r>
    </w:p>
    <w:p>
      <w:r>
        <w:rPr>
          <w:b/>
        </w:rPr>
        <w:t>E. 3</w:t>
      </w:r>
    </w:p>
    <w:p>
      <w:r>
        <w:t>Il est constant que le défendeur a obtenu un crédit de la demanderesse et qu'il s'est obligé à le lui rembourser; il est également constant qu'il a nanti sa cocontractante de son portefeuille de titres en garantie de ce remboursement et qu'il l'a habilitée, sous certaines conditions, à vendre elle-même ces titres, y compris de gré à gré.</w:t>
      </w:r>
    </w:p>
    <w:p>
      <w:r>
        <w:t>En instance fédérale, le défendeur ne met plus en doute que l'appel de marge du 23 septembre 2008 lui ait été communiqué conformément aux modalités convenues.</w:t>
      </w:r>
    </w:p>
    <w:p>
      <w:r>
        <w:t>Selon la jurisprudence, lorsque le créancier gagiste est autorisé par contrat à se payer en vendant de gré à gré la chose remise en gage, il est tenu de respecter les règles de la bonne foi dans la mesure compatible avec ses propres intérêts, et il doit épargner au constituant du gage tout dommage évitable. Il doit réparer le dommage qu'il cause au constituant si, par sa faute, la vente aboutit à un résultat insuffisant. La responsabilité du créancier suppose que celui-ci ait violé son devoir de diligence par un comportement fautif et que ce comportement se trouve en relation de causalité avec un dommage subi par le constituant; la preuve du dommage incombe à ce dernier ( ATF 118 II 112 consid. 2 p. 114; arrêt 4C.323/1995 du 24 juin 1996, consid. 5a). Ce régime est notamment applicable à la banque qui a ouvert un crédit destiné à l'acquisition de titres et dont le remboursement est garanti par le nantissement des valeurs en portefeuille (Elisabeth Moskrich, Der Lombardkredit, 2003, p. 227 à 229, avec références à d'autres auteurs).</w:t>
      </w:r>
    </w:p>
    <w:p>
      <w:r>
        <w:t>Dans sa réponse au recours, la demanderesse insiste inutilement sur la convention qui l'autorisait textuellement à vendre de gré à gré car elle était néanmoins, selon la jurisprudence précitée, assujettie à un devoir de diligence envers son cocontractant. Il n'est pas nécessaire d'examiner si ce devoir résultait non seulement des règles de la bonne foi, c'est-à-dire de l' art. 2 al. 1 CC , mais aussi du devoir de loyauté que l' art. 11 al. 1 let c. de la loi fédérale sur les bourses et le commerce des valeurs mobilières (LBVM) impose au négociant de valeurs mobilières.</w:t>
      </w:r>
    </w:p>
    <w:p>
      <w:r>
        <w:rPr>
          <w:b/>
        </w:rPr>
        <w:t>E. 4</w:t>
      </w:r>
    </w:p>
    <w:p>
      <w:r>
        <w:t>Le défendeur fait valoir que les obligations Kazkommertsbank et Astana Finance sont respectivement cotées aux bourses d'Astana au Kazakhstan et de Francfort en Allemagne. Il soutient que la demanderesse ne pouvait éventuellement vendre hors bourse, ainsi qu'elle l'a fait le 13 octobre 2008, qu'après avoir vainement tenté de vendre en bourse, « ne serait-ce que [pendant] un temps limité de quelques heures », et qu'elle a violé son devoir de diligence en omettant cette tentative.</w:t>
      </w:r>
    </w:p>
    <w:p>
      <w:r>
        <w:t>Le défendeur ne précise pas à quels cours la demanderesse aurait pu ou dû limiter ses hypothétiques ordres de vente sur les places d'Astana et de Francfort. Implicitement, il admet ainsi l'impossibilité de déterminer les cours auxquels la demanderesse aurait pu trouver preneur pour les titres en cause. Le défendeur n'est donc pas en mesure d'apporter la preuve d'un éventuel dommage. Des ordres sans limites, du type « au marché » ou « au mieux », auraient engendré le risque d'une liquidation à très bas prix, inférieurs à ceux de la vente exécutée hors bourse le 13 octobre 2008, donc préjudiciable aux intérêts de la banque et aussi de son client. Une pareille démarche n'était pas exigible de la demanderesse.</w:t>
      </w:r>
    </w:p>
    <w:p>
      <w:r>
        <w:t>En réalité, pour mettre en évidence une vente au-dessous de la valeur vénale et, simultanément, mettre en évidence le dommage résultant de cette vente, le défendeur aurait dû alléguer et prouver que sur les places boursières concernées, entre le 4 et le 12 octobre 2008 inclusivement, des ordres d'achat à des prix supérieurs à ceux obtenus hors bourse se sont trouvés pendants, auxquels la demanderesse aurait pu répondre par des ordres de vente correspondants. Or, le défendeur ne prétend pas avoir apporté une pareille preuve.</w:t>
      </w:r>
    </w:p>
    <w:p>
      <w:r>
        <w:t>Pour les obligations Kazkommertsbank, le défendeur a produit des graphiques qui révèlent deux transactions intervenues à la bourse d'Astana, l'une le 7 octobre 2008 pour un volume très faible, au cours de 68%, l'autre le 13 octobre pour un volume plus important, au cours de 70%. Les volumes ne sont pas indiqués de manière précise et on ignore totalement les valeurs nominales auxquelles ils correspondent. Ces éléments ne satisfont pas aux exigences précitées relatives à la preuve d'une vente au-dessous de la valeur vénale. Une information diffusée par une société de courtage, selon laquelle d'octobre 2008 à septembre 2009 Kazkommertsbank a racheté ses propres obligations pour une valeur nominale de 75'965'000 dollars, au cours moyen de 91,8%, n'apporte pas non plus cette preuve. Le défendeur argue inutilement de relations d'affaires établies entre Kazkommertsbank et la demanderesse, celle-ci ayant prêté son concours aux émissions de celle-là.</w:t>
      </w:r>
    </w:p>
    <w:p>
      <w:r>
        <w:t>Pour les obligations Astana Finance, les graphiques également produits semblent indiquer que le titre était quotidiennement négocié à la bourse de Francfort. Le cours progresse et dépasse 98% du 3 au 7 octobre 2008; le 7, il chute à moins de 82%, puis il diminue encore jusque vers 81% le 13. Il n'existe aucune indication, même approximative, des volumes vendus et achetés. Ces documents n'apportent donc pas non plus la preuve d'un marché boursier suffisamment important, apte à absorber une valeur nominale de 142'000 dollars à un cours excédant celui de 50% obtenu hors bourse le 13 octobre 2008.</w:t>
      </w:r>
    </w:p>
    <w:p>
      <w:r>
        <w:rPr>
          <w:b/>
        </w:rPr>
        <w:t>E. 5</w:t>
      </w:r>
    </w:p>
    <w:p>
      <w:r>
        <w:t>Pour l'ensemble des titres vendus à cette date, le défendeur fait valoir que la vente déjà exécutée le 6 octobre avait produit 146'925 fr.20, et, ainsi, couvert le manco de 85'000 fr. à l'origine de l'appel de marge du 23 septembre. A son avis, une deuxième vente le 13 octobre ne se justifiait donc pas; le cas échéant, elle aurait dû être précédée d'un deuxième appel de marge.</w:t>
      </w:r>
    </w:p>
    <w:p>
      <w:r>
        <w:t>Cet aspect n'est pas abordé dans la réponse de la demanderesse. Le défendeur ne prétend cependant pas avoir allégué et prouvé que les obligations Kazkommertsbank et Astana Finance auraient pu être vendues après le 13 octobre 2008 à des cours plus élevés que 40,5% et 50%. En tant que la demanderesse a vendu à cette date en violation des conditions convenues, le défendeur n'a pas apporté la preuve d'un dommage.</w:t>
      </w:r>
    </w:p>
    <w:p>
      <w:r>
        <w:rPr>
          <w:b/>
        </w:rPr>
        <w:t>E. 6</w:t>
      </w:r>
    </w:p>
    <w:p>
      <w:r>
        <w:t>La Cour de justice n'a donc ni appliqué incorrectement le droit fédéral ni apprécié arbitrairement les preuves en refusant de reconnaître au défendeur une créance de dommages-intérêts apte à compenser sa dette de remboursement du crédit bancaire. Il n'est pas nécessaire d'entrer dans une discussion plus détaillée des motifs de l'arrêt attaqué et des critiques opposées par le défendeur. L'obligation de rembourser le crédit est pour le surplus incontestée; ainsi, le recours en matière civile se révèle privé de fondement et doit être rejeté.</w:t>
      </w:r>
    </w:p>
    <w:p>
      <w:r>
        <w:rPr>
          <w:b/>
        </w:rPr>
        <w:t>E. 7</w:t>
      </w:r>
    </w:p>
    <w:p>
      <w:r>
        <w:t>A titre de partie qui succombe, le défendeur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