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718/2016 vom 21. Februar 2017</w:t>
      </w:r>
    </w:p>
    <w:p>
      <w:r>
        <w:t>Bundesgericht, 2017-02-21, DE</w:t>
      </w:r>
    </w:p>
    <w:p>
      <w:r>
        <w:rPr>
          <w:b/>
        </w:rPr>
        <w:t xml:space="preserve">Quelle: </w:t>
      </w:r>
      <w:r>
        <w:t>https://mcp.opencaselaw.ch/entscheid/bger_4A_718_2016</w:t>
      </w:r>
    </w:p>
    <w:p>
      <w:r>
        <w:t>FR: TF 4A 718/2016 du 21 février 2017</w:t>
      </w:r>
    </w:p>
    <w:p>
      <w:r>
        <w:t>IT: TF 4A 718/2016 del 21 febbraio 2017</w:t>
      </w:r>
    </w:p>
    <w:p>
      <w:pPr>
        <w:pStyle w:val="Heading2"/>
      </w:pPr>
      <w:r>
        <w:t>Regeste</w:t>
      </w:r>
    </w:p>
    <w:p>
      <w:r>
        <w:t>Mieterausweisung | Vertragsrecht</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richtet sich gegen einen verfahrensabschliessenden Endentscheid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15'000.-- ( Art. 74 Abs. 1 lit. a BGG ) und die Beschwerdefrist ist eingehalten ( Art. 100 Abs. 1 BGG ). Auf die Beschwerde in Zivilsachen ist somit - unter Vorbehalt einer rechtsgenügenden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1.4</w:t>
      </w:r>
    </w:p>
    <w:p>
      <w:r>
        <w:t>Unbeachtlich sind die Ausführungen in der Beschwerde, soweit sie sich gegen den erstinstanzlichen Entscheid richten, anstatt auf die Erwägungen des angefochtenen Entscheids der Vorinstanz einzugehen (vgl. Art. 75 Abs. 1 BGG ). Dies gilt insbesondere für das Vorbringen, das Bezirksgericht habe eine Eingabe der Beschwerdeführerin ausser Acht gelassen und damit Art. 6 Ziff. 1 EMRK und/oder Art. 29 Abs. 1 und 2 BV missachtet. Inwiefern der Vorinstanz eine Verletzung der erwähnten Bestimmungen vorzuwerfen wäre, legt die Beschwerdeführerin nicht hinreichend dar.</w:t>
      </w:r>
    </w:p>
    <w:p>
      <w:r>
        <w:rPr>
          <w:b/>
        </w:rPr>
        <w:t>E. 2</w:t>
      </w:r>
    </w:p>
    <w:p>
      <w:r>
        <w:t>Die Beschwerdeführerin stellt sich auf den Standpunkt, die Vorinstanz hätte auf das Ausweisungsbegehren nicht eintreten dürfen ( Art. 257 Abs. 3 ZPO ), weil die Voraussetzungen für die Gewährung des Rechtsschutzes im summarischen Verfahren nach Art. 257 Abs. 1 ZPO nicht erfüllt seien.</w:t>
      </w:r>
    </w:p>
    <w:p>
      <w:r>
        <w:rPr>
          <w:b/>
        </w:rPr>
        <w:t>E. 2.1</w:t>
      </w:r>
    </w:p>
    <w:p>
      <w:r>
        <w:t>Sie bringt vor, bei ihrem im vorinstanzlichen Verfahren erhobenen Einwand, der wahre Kündigungsgrund sei Eigenbedarf und der Kündigungsgrund des Zahlungsverzugs im Sinne von Art. 257d OR sei vom Beschwerdegegner lediglich vorgeschoben, um damit schneller ans Ziel zu kommen als mit einer ordentlichen Kündigung wegen Eigenbedarfs, handle es sich entgegen dem angefochtenen Entscheid nicht um eine neue Tatsachenbehauptung. Die vorinstanzliche Feststellung sei aktenwidrig, gehörsverletzend und missachte die soziale Untersuchungsmaxime nach Art. 243 Abs. 2 lit. c in Verbindung mit Art. 247 Abs. 2 lit. a ZPO . Entsprechend sei ihr Einwand zu beachten, wonach der Zahlungsverzug als Kündigungsmotiv lediglich vorgeschoben worden sei, um damit rascher zum Ziel zu kommen als mit einer ordentlichen Eigenbedarfskündigung; mit der Verzugskündigung verfolge der Vermieter in treuwidriger Weise das Ziel, das Mietverhältnis rascher zu beenden als mit einer ordentlichen Kündigung. Bezüglich der Frage der Treuwidrigkeit bzw. Gültigkeit der Kündigung vom 25. November 2015 bestehe keine klare Sach- und Rechtslage. Ohne Beweisverfahren könne das Kündigungsmotiv nicht eruiert werden. Würde dem Ausweisungsgesuch im summarischen Verfahren stattgegeben, würde das Ergebnis des hängigen Kündigungsanfechtungsverfahrens vorweggenommen, ohne dass die Beschwerdeführerin je die Möglichkeit gehabt hätte, ihre Behauptungen mit einem Zeugenbeweis untermauern zu können; dies lasse sich mit den Grundsätzen eines fairen Verfahrens im Sinne von Art. 6 Ziff. 1 EMRK nicht vereinbaren. Mangels klarer Sach- und Rechtslage betreffend die Vorfrage der Treuwidrigkeit bzw. Gültigkeit der angefochtenen Verzugskündigung vom 25. November 2015 sei auf das Ausweisungsgesuch des Beschwerdegegners vom 10. Mai 2016 nach Art. 257 Abs. 3 ZPO nicht einzutreten.</w:t>
      </w:r>
    </w:p>
    <w:p>
      <w:r>
        <w:rPr>
          <w:b/>
        </w:rPr>
        <w:t>E. 2.2.1</w:t>
      </w:r>
    </w:p>
    <w:p>
      <w:r>
        <w:t>Das Gericht gewährt nach Art. 257 Abs. 1 ZPO Rechtsschutz im summarischen Verfahren, wenn der Sachverhalt unbestritten oder sofort beweisbar ist (lit. a) und die Rechtslage klar ist (lit. b). Mit Blick darauf, dass ein Urteil, mit dem nach Art. 257 ZPO Rechtsschutz gewährt wird, der materiellen Rechtskraft fähig ist, wird von der klagenden Partei verlangt, dass sie sofort den vollen Beweis für die anspruchsbegründenden Tatsachen erbringt, so dass klare Verhältnisse herrschen ( BGE 141 III 23 E. 3.2; 138 III 620 E. 5.1.1 S. 622 f.). Eine klare Rechtslage ist gegeben, wenn sich die Rechtsfolge bei der Anwendung des Gesetzes unter Berücksichtigung der Lehre und Rechtsprechung ohne Weiteres ergibt und damit die Rechtsanwendung zu einem eindeutigen Ergebnis führt. Dagegen ist die Rechtslage nicht klar, wenn die Anwendung einer Norm einen Ermessens- oder Billigkeitsentscheid des Gerichts mit wertender Berücksichtigung der gesamten Umstände erfordert ( BGE 141 III 23 E. 3.2 S. 26; 138 III 123 E. 2.1.2 mit Hinweisen). Für die Verneinung eines klaren Falles genügt es, dass die beklagte Partei substanziiert und schlüssig Einwendungen vorträgt, die in tatsächlicher Hinsicht nicht sofort widerlegt werden können und die geeignet sind, die bereits gebildete richterliche Überzeugung zu erschüttern. Demgegenüber ist ein klarer Fall zu bejahen, wenn das Gericht aufgrund der Aktenlage zur Überzeugung gelangt, der Anspruch der klagenden Partei sei ausgewiesen und eine eingehende Abklärung der beklagtischen Einwände könne daran nichts ändern; offensichtlich unbegründete oder haltlose Bestreitungen des Anspruchs genügen für die Verneinung eines klaren Falles nicht ( BGE 138 III 620 E. 5.1.1 mit Hinweisen). Soweit - wie vorliegend - die Gültigkeit der Kündigung des Mietvertrags im Ausweisungsverfahren als Vorfrage zu beurteilen ist, beziehen sich die Voraussetzungen von Art. 257 Abs. 1 ZPO auch darauf. Sind sie nicht erfüllt und kann der Rechtsschutz in klaren Fällen daher nicht gewährt werden, hat das Gericht nach Art. 257 Abs. 3 ZPO auf das Gesuch nicht einzutreten ( BGE 141 III 262 E. 3.2 S. 265).</w:t>
      </w:r>
    </w:p>
    <w:p>
      <w:r>
        <w:rPr>
          <w:b/>
        </w:rPr>
        <w:t>E. 2.2.2</w:t>
      </w:r>
    </w:p>
    <w:p>
      <w:r>
        <w:t>Die Beschwerdeführerin stellt nicht in Abrede, dass sie sich mit der Zahlung fälliger Mietzinsen im Rückstand befand. Im bundesgerichtlichen Beschwerdeverfahren ist auch nicht mehr umstritten, dass die weiteren Voraussetzungen für eine ausserordentliche Kündigung nach Art. 257d Abs. 2 OR grundsätzlich erfüllt sind. Sie stellt sich vor Bundesgericht einzig auf den Standpunkt, die ausgesprochene Kündigung sei treuwidrig erfolgt, weil der wahre Kündigungsgrund im Eigenbedarf des Beschwerdegegners liege. Entgegen dem, was die Beschwerdeführerin anzunehmen scheint, muss jedoch ein klarer Fall ( Art. 257 Abs. 1 ZPO ) in rechtlicher Hinsicht nicht etwa verneint werden, sobald eine missbräuchliche Rechtsausübung bzw. ein Verstoss gegen Treu und Glauben geltend gemacht wird (Urteil 4A_350/2015 vom 25. August 2015 E. 4.2). Nach bundesgerichtlicher Rechtsprechung kann eine nach Massgabe von Art. 257d Abs. 2 OR ausgesprochene Kündigung zwar ausnahmsweise gegen Treu und Glauben verstossen ( Art. 271 OR ); die Beschwerdeführerin verkennt jedoch, dass ein Verstoss gegen Treu und Glauben bei einer solchen Kündigung nur äusserst zurückhaltend anzunehmen ist ( BGE 140 III 591 E. 1 S. 594 mit Hinweis auf Fälle, in denen ein treuwidriges Verhalten denkbar ist). Der Umstand, dass der Vermieter das Mietobjekt angeblich selber nutzen will, gehört klarerweise nicht zu den von der Rechtsprechung in Betracht gezogenen Fällen treuwidriger Kündigungen. Wie die Weitervermietung an einen neuen Mieter stellt der eigene Gebrauch des Mietobjekts eine legitime Nutzung dar und es leuchtet nicht ein, inwiefern das gleichzeitige Vorliegen einer solchen Gebrauchsabsicht dazu führen soll, dass der Vermieter Zahlungsrückstände des Mieters zu dulden hätte. Mit der Berücksichtigung eines derartigen Einwands würde der Anspruch des Vermieters, fällige Mietzinsen rechtzeitig zu erhalten, in Frage gestellt (vgl. BGE 140 III 591 E. 1 S. 594). Der von der Beschwerdeführerin im Verfahren des Rechtsschutzes in klaren Fällen erhobene Einwand, der Kündigungsgrund des Zahlungsverzugs sei bloss "vorgeschoben", erweist sich als offensichtlich haltlos: Der Kündigungsgrund besteht; dass darüber hinaus noch andere Intentionen des Vermieters vorliegen, ändert daran nichts. Der Einwand ist unerheblich. Selbst wenn mit ihr davon auszugehen wäre, dass der Einwand rechtzeitig erfolgte, wäre somit von einem klaren Fall im Sinne von Art. 257 Abs. 1 ZPO auszugehen. Der angefochtene Entscheid ist demnach nicht zu beanstanden.</w:t>
      </w:r>
    </w:p>
    <w:p>
      <w:r>
        <w:rPr>
          <w:b/>
        </w:rPr>
        <w:t>E. 3</w:t>
      </w:r>
    </w:p>
    <w:p>
      <w:r>
        <w:t>Die Beschwerde ist abzuweisen, soweit darauf eingetreten werden kann. Mit dem Entscheid in der Sache wird das Gesuch der Beschwerdeführerin um Erteilung der aufschiebenden Wirkung gegenstandslos.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