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70/2009 vom 1. Mai 2009</w:t>
      </w:r>
    </w:p>
    <w:p>
      <w:r>
        <w:t>Bundesgericht, 2009-05-01, FR</w:t>
      </w:r>
    </w:p>
    <w:p>
      <w:r>
        <w:rPr>
          <w:b/>
        </w:rPr>
        <w:t xml:space="preserve">Quelle: </w:t>
      </w:r>
      <w:r>
        <w:t>https://mcp.opencaselaw.ch/entscheid/bger_4A_70_2009</w:t>
      </w:r>
    </w:p>
    <w:p>
      <w:r>
        <w:t>FR: TF 4A 70/2009 du 1 mai 2009</w:t>
      </w:r>
    </w:p>
    <w:p>
      <w:r>
        <w:t>IT: TF 4A 70/2009 del 1 maggio 2009</w:t>
      </w:r>
    </w:p>
    <w:p>
      <w:pPr>
        <w:pStyle w:val="Heading2"/>
      </w:pPr>
      <w:r>
        <w:t>Regeste</w:t>
      </w:r>
    </w:p>
    <w:p>
      <w:r>
        <w:t>assurance complémentaire | Droit des contrats</w:t>
      </w:r>
    </w:p>
    <w:p>
      <w:pPr>
        <w:pStyle w:val="Heading2"/>
      </w:pPr>
      <w:r>
        <w:t>Erwägungen</w:t>
      </w:r>
    </w:p>
    <w:p>
      <w:r>
        <w:rPr>
          <w:b/>
        </w:rPr>
        <w:t>E. 1</w:t>
      </w:r>
    </w:p>
    <w:p>
      <w:r>
        <w:t>L'arrêt attaqué est une décision préjudicielle ou incidente notifiée séparément qui ne porte ni sur la compétence ni sur une demande de récusation (cf. art. 92 LTF ). Elle ne peut dès lors faire l'objet d'un recours que si elle est susceptible de causer un préjudice irréparable ou si l'admission du recours peut conduire immédiatement à une décision finale qui permet d'éviter une procédure probatoire longue et coûteuse ( art. 93 al. 1 let. a et b LTF ); à défaut, elle pourra seulement être attaquée par un recours contre la décision finale dans la mesure où elle influe sur le contenu de celle-ci ( art. 93 al. 3 LTF ). Cette réglementation est fondée sur des motifs d'économie de la procédure: en tant que cour suprême, le Tribunal fédéral ne devrait en principe connaître qu'une seule fois de la même affaire, à la fin de la procédure ( ATF 134 III 188 consid. 2.2; 134 IV 43 consid. 2.1 p. 45).</w:t>
      </w:r>
    </w:p>
    <w:p>
      <w:r>
        <w:rPr>
          <w:b/>
        </w:rPr>
        <w:t>E. 1.1</w:t>
      </w:r>
    </w:p>
    <w:p>
      <w:r>
        <w:t>Le recours est d'abord ouvert contre les décisions préjudicielles ou incidentes, notifiées séparément, qui peuvent causer un préjudice irréparable ( art. 93 al. 1 let. a LTF ). 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135 II 30 consid. 1.3.4 p. 36; 134 III 188 consid. 2.1 p. 190 et consid. 2.2). Il appartient au recourant d'alléguer et d'établir la possibilité que la décision préjudicielle ou incidente lui cause un dommage irréparable ( ATF 134 III 426 consid. 1.2 p. 429), à moins que celui-ci ne fasse d'emblée aucun doute ( ATF 133 III 629 consid. 2.3.1). La recourante allègue d'abord que l'entrée en force de l'arrêt attaqué lui causerait un préjudice irréparable, car si l' art. 156 OS était reconnu conforme à la Constitution fédérale, il devrait être appliqué sans restriction pour l'ensemble des assurés et constituerait ainsi pour eux en principe un droit au transfert d'une catégorie d'assurance à une autre. Cela revient de la part de la recourante à soutenir que la perte du procès au fond lui causerait un préjudice, ce qui est toutefois dans l'ordre des choses. Ce n'est toutefois pas de cela qu'il s'agit. La question est de savoir si un dommage irréparable résulte du fait de ne pas pouvoir attaquer une décision incidente immédiatement, mais seulement plus tard avec la décision finale. La recourante soutient en outre qu'en matière de protection du secret des affaires, le préjudice survient dès la transmission des informations. Certes, l'accès de la partie adverse à des secrets d'affaires peut être constitutif d'un préjudice irréparable (cf. arrêt 4P.117/1998 du 26 octobre 1998 consid. 1b/bb/aaa, in SJ 1999 I 186). Il ne suffit cependant pas que la partie requise de produire une pièce affirme que celle-ci contient un secret d'affaires pour que le risque d'un dommage irréparable en cas de production doive être automatiquement admis. En l'espèce, la cour cantonale a retenu qu'un tel risque n'existait pas dès lors qu'il n'était pas question d'une production de la comptabilité entière comme lorsqu'il s'agit d'examiner la légalité d'une prime de l'assurance obligatoire. La recourante conteste pour l'essentiel l'utilité des pièces requises pour la décision à rendre au fond, mais ne discute pas les motifs de l'autorité cantonale et ne précise pas en quoi consisteraient les données à protéger. Or, on ne discerne pas sans autre le caractère de secret d'affaires de la date à laquelle elle a conclu pour la dernière fois une police d'assurance "Hospital Plus Classica", du nombre d'assurances des divers types pratiqués qu'elle a conclues en 2007 et du nom de l'assurance correspondant à "Hospital Plus Classica", ni des extraits statistiques correspondants. Quoi qu'il en soit, le droit de procédure cantonal prévoit des règles afin de protéger le cas échéant les secrets d'affaires d'une partie; l'autorité peut notamment interdire la consultation de pièces produites par une partie s'il y a lieu de les garder secrètes (cf. art. 45 de la loi genevoise du 12 septembre 1985 sur la procédure administrative [LCA/GE; E 5 10]). La recourante ne démontre pas en quoi cette faculté serait le cas échéant insuffisante pour garantir ses intérêts dans le cas d'espèce.</w:t>
      </w:r>
    </w:p>
    <w:p>
      <w:r>
        <w:rPr>
          <w:b/>
        </w:rPr>
        <w:t>E. 1.2</w:t>
      </w:r>
    </w:p>
    <w:p>
      <w:r>
        <w:t>Le recours est également ouvert contre les décisions préjudicielles ou incidentes, notifiées séparément, si l'admission du recours peut conduire immédiatement à une décision finale qui permet d'éviter une procédure probatoire longue et coûteuse ( art. 93 al. 1 let. b LTF ). La première des deux conditions cumulatives est réalisée si le Tribunal fédéral peut mettre fin une fois pour toutes à la procédure en jugeant différemment la question tranchée dans la décision préjudicielle ou incidente ( ATF 133 III 629 consid. 2.4.1). Quant à la seconde condition, il appartient à la partie recourante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p. 633). En l'occurrence, la recourante allègue que la préparation des statistiques requises lui causerait une perte de temps et des coûts importants. Il s'agit là toutefois de simples affirmations qui ne trouvent aucun appui dans le dossier; selon la recourante d'ailleurs, il n'est pas possible de chiffrer ou décrire les mesures préparatoires nécessaires. Or, la recourante est requise de donner le nombre de divers contrats d'assurances conclues par elle et de comparer les prestations prévues dans les divers contrats qu'elle propose; il n'est nullement manifeste que collecter ces données nécessiterait de sa part un travail qui prolongerait de manière significative la procédure probatoire et lui causerait des coûts disproportionnés.</w:t>
      </w:r>
    </w:p>
    <w:p>
      <w:r>
        <w:rPr>
          <w:b/>
        </w:rPr>
        <w:t>E. 1.3</w:t>
      </w:r>
    </w:p>
    <w:p>
      <w:r>
        <w:t>En définitive, la recourante n'a ainsi pas démontré que la décision incidente attaquée pourrait lui causer un dommage irréparable ou que l'admission d'un recours immédiat permettrait d'éviter une procédure probatoire longue et coûteuse. L'arrêt attaqué ne peut donc pas faire l'objet d'un recours en matière civile ou d'un recours constitutionnel subsidiaire immédiats (cf. art. 93 al. 1 et art. 117 LTF ). Il s'ensuit que les recours doivent être déclarés irrecevables, sans qu'il soit nécessaire d'examiner les autres questions de recevabilité.</w:t>
      </w:r>
    </w:p>
    <w:p>
      <w:r>
        <w:rPr>
          <w:b/>
        </w:rPr>
        <w:t>E. 2</w:t>
      </w:r>
    </w:p>
    <w:p>
      <w:r>
        <w:t>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