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4A_705/2015 vom 14. März 2016</w:t>
      </w:r>
    </w:p>
    <w:p>
      <w:r>
        <w:t>Bundesgericht, 2016-03-14, DE</w:t>
      </w:r>
    </w:p>
    <w:p>
      <w:r>
        <w:rPr>
          <w:b/>
        </w:rPr>
        <w:t xml:space="preserve">Quelle: </w:t>
      </w:r>
      <w:r>
        <w:t>https://mcp.opencaselaw.ch/entscheid/bger_4A_705_2015</w:t>
      </w:r>
    </w:p>
    <w:p>
      <w:r>
        <w:t>FR: TF 4A_705/2015 du 14 mars 2016</w:t>
      </w:r>
    </w:p>
    <w:p>
      <w:r>
        <w:t>IT: TF 4A_705/2015 del 14 marzo 2016</w:t>
      </w:r>
    </w:p>
    <w:p>
      <w:pPr>
        <w:pStyle w:val="Heading2"/>
      </w:pPr>
      <w:r>
        <w:t>Erwägungen</w:t>
      </w:r>
    </w:p>
    <w:p>
      <w:r>
        <w:rPr>
          <w:b/>
        </w:rPr>
        <w:t>E. 1</w:t>
      </w:r>
    </w:p>
    <w:p>
      <w:r>
        <w:t>Die Sachurteilsvoraussetzungen der Beschwerde in Zivilsachen sind erfüllt, namentlich mit einem Streitwert von Fr. 55'183.60 auch das Erfordernis gemäss Art. 74 Abs. 1 lit. b BGG . Unter Vorbehalt einer rechtsgenüglichen Begründung ( Art. 42 Abs. 2 BGG )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264 E. 2.3 S. 266; je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w:t>
      </w:r>
    </w:p>
    <w:p>
      <w:r>
        <w:t>Diese Grundsätze verkennt die Beschwerdeführerin, wenn sie sich für ihre Behauptungen der Kenntnis des Beschwerdegegners von der Auflösung des Aktiendepots, ihrer Beweggründe für die Unterzeichnung der "Gütlichen Einigung", insbesondere dass sie die weiteren Verpflichtungen in der Vereinbarung ohne den "Bestand" der Saldoklausel nicht bezahlt hätte, oder bezüglich der Auflösung des gemeinsamen Mieterdepots und der Aufteilung von Möbeln und Mobilien auf Tatsachen stützt, die im vorinstanzlich festgestellten Sachverhalt keine Stützen finden, ohne dabei Sachverhaltsrügen nach den oben erwähnten Grundsätzen zu erheben. Darauf ist nicht einzutreten.</w:t>
      </w:r>
    </w:p>
    <w:p>
      <w:r>
        <w:rPr>
          <w:b/>
        </w:rPr>
        <w:t>E. 3</w:t>
      </w:r>
    </w:p>
    <w:p>
      <w:r>
        <w:t>Die Vorinstanz erwog, dass sich die Saldoklausel in der "Gütlichen Einigung" vom 25. April 2012 nach ihrem Wortlaut auf die Auseinandersetzung betreffend sämtlicher gegenseitiger Forderungen aus dem gemeinsamen vergangenen Leben bzw. Zusammenleben der Parteien beziehe. Alle gegenseitigen Ansprüche der Parteien seien somit bis zur Auflösung des Konkubinats Ende Februar / Anfangs März 2010 abgegolten. Ob die Saldoklausel auch Forderungen erfasse, die nach Auflösung des Konkubinats entstanden seien, lasse sich aus deren Wortlaut nicht ableiten. Gemäss dem Grundsatz "in dubio contra stipulatorem" müsse sich die Beschwerdeführerin allfällige Unklarheiten bzw. die für sie ungünstigere Auslegungsvariante entgegenhalten lassen. Diesem Grundsatz folgend sei davon auszugehen, dass die Saldoklausel lediglich die Forderungen während des gemeinsamen Zusammenlebens umfassen würde, d.h. bis zur Auflösung des Konkubinats.</w:t>
      </w:r>
    </w:p>
    <w:p>
      <w:r>
        <w:t>Die Vorinstanz prüfte alsdann Forderungen des Beschwerdegegners, die nach Auflösung des Konkubinats entstanden sind, unter anderem eine Forderung aus gemeinsam gekauften Aktien. Sie erwog dazu, es sei unbestritten, dass die Parteien aus dem Gemeinschaftskonto Aktien gekauft bzw. ein Aktiendepot geführt hätten. Sodann sei unbestritten, dass die Beschwerdeführerin nach Auflösung des Konkubinats sämtliche Aktien vom Gemeinschaftskonto auf ein eigenes Konto transferiert habe. Die Behauptung der Beschwerdeführerin, die Parteien hätten sich bezüglich der Aufteilung des Aktiendepots mündlich abgesprochen und sie sei berechtigt gewesen, sämtliche Aktien auf ihr eigenes Konto zu übertragen, würden vom Beschwerdegegner bestritten und könnten von der Beschwerdeführerin nicht bewiesen werden. Aus der "Gütlichen Einigung" sei keine Vereinbarung zu entnehmen, weshalb für die Aufteilung des Aktiendepots das Recht der einfachen Gesellschaft analog anwendbar sei. Zum Zeitpunkt der Übertragung der Aktien vom Gemeinschaftskonto der Parteien auf das Konto der Beschwerdeführerin am 15. April 2010 habe das Aktiendepot einen Wert von total Fr. 34'464.35 gehabt. Der Beschwerdegegner habe Anspruch auf die Hälfte dieses Wertes (Art. 549 Abs. 1 i.V.m. Art. 533 Abs. 1 OR ), weshalb ihm eine Forderung von gerundet Fr. 17'232.15 gegenüber der Beschwerdeführerin zustehe.</w:t>
      </w:r>
    </w:p>
    <w:p>
      <w:r>
        <w:rPr>
          <w:b/>
        </w:rPr>
        <w:t>E. 4.1</w:t>
      </w:r>
    </w:p>
    <w:p>
      <w:r>
        <w:t>Die Beschwerdeführerin rügt, die Vorinstanz habe gegen das Willkürverbot und den Grundsatz von Treu und Glauben nach Art. 9 BV verstossen, indem sie die "Gütliche Einigung" so ausgelegt habe, dass alle Rechts- und Tatsachenvorgänge nach dem März 2010 nicht von der Saldoklausel erfasst würden. Die Parteien hätten mit der "Gütlichen Einigung" einen definitiven Schlussstrich unter ihre frühere Beziehung ziehen und ihre Rechtsverhältnisse abschliessend regeln wollen. Der wirkliche und übereinstimmende Parteiwille habe nicht darin bestanden, gewisse Zeitperioden oder gewisse Tatsachenvorgänge in der Vergangenheit nicht in die Saldoklausel einzuschliessen.</w:t>
      </w:r>
    </w:p>
    <w:p>
      <w:r>
        <w:rPr>
          <w:b/>
        </w:rPr>
        <w:t>E. 4.2</w:t>
      </w:r>
    </w:p>
    <w:p>
      <w:r>
        <w:t>Gemäss Art. 18 Abs. 1 OR bestimmt sich der Inhalt des Vertrags nach dem übereinstimmenden wirklichen Willen der Parteien. Die empirische oder subjektive Auslegung hat gegenüber der normativen oder objektivierten Vertragsauslegung Vorrang ( BGE 138 III 659 E. 4.2.1 S. 666; 137 III 145 E. 3.2.1). Diese subjektive Vertragsauslegung beruht auf Beweiswürdigung, die vorbehältlich der Ausnahmen von Art. 97 und 105 BGG der bundesgerichtlichen Überprüfung entzogen ist (vgl. BGE 135 III 410 E. 3.2 S. 412 f.; 132 III 268 E. 2.3.2 S. 274).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138 III 659 E. 4.2.1 S. 666; 137 III 145 ). Das Bundesgericht überprüft diese objektivierte Auslegung von Willenserklärungen als Rechtsfrage, wobei es an Feststellungen des kantonalen Gerichts über die äusseren Umstände sowie das Wissen und Wollen der Beteiligten grundsätzlich gebunden ist ( Art. 105 Abs. 1 BGG ; BGE 138 III 659 E. 4.2.1 S. 666 f.; 133 III 61 E. 2.2.1).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132 III 626 E. 3.1; je mit Hinweisen).</w:t>
      </w:r>
    </w:p>
    <w:p>
      <w:r>
        <w:rPr>
          <w:b/>
        </w:rPr>
        <w:t>E. 4.3</w:t>
      </w:r>
    </w:p>
    <w:p>
      <w:r>
        <w:t>Die Vorinstanz stellte keinen übereinstimmenden wirklichen Willen der Parteien fest. Inwiefern sie dabei in Willkür verfallen wäre, wird von der Beschwerdeführerin nicht rechtsgenüglich dargelegt (vgl. Erwägung 2.1), sodass darauf nicht einzutreten ist.</w:t>
      </w:r>
    </w:p>
    <w:p>
      <w:r>
        <w:rPr>
          <w:b/>
        </w:rPr>
        <w:t>E. 4.4</w:t>
      </w:r>
    </w:p>
    <w:p>
      <w:r>
        <w:t>Nach dem Wortlaut der Saldoklausel der "Gütlichen Einigung" vom 25. April 2012 sind sämtliche gegenseitigen Forderungen der Parteien "aus dem gemeinsamen vergangenen Leben bzw. Zusammenleben" davon erfasst. Wie die Vorinstanz zu Recht erwog, ist diese Formulierung nach ihrem Wortlaut so zu verstehen, dass die Saldoklausel auf Forderungen beschränkt ist, die</w:t>
      </w:r>
    </w:p>
    <w:p>
      <w:r>
        <w:t>während des gemeinsamen vergangenen (Zusammen) lebens, d.h. bis zur Auflösung des Konkubinats, entstanden sind. Forderungen, die</w:t>
      </w:r>
    </w:p>
    <w:p>
      <w:r>
        <w:t>nach der Auflösung des Konkubinats Ende Februar / Anfangs März 2010 entstanden sind, sind e contrario von der Saldoklausel nicht mehr erfasst. Umstände, aus denen nach objektivem Verständnis geschlossen werden müsste, dass die Saldoklausel auch Forderungen erfasst, die nach Auflösung des Konkubinats entstanden sind, werden von der Beschwerdeführerin nicht hinreichend dargelegt und sind im vorinstanzlich festgestellten Sachverhalt auch nicht ersichtlich.</w:t>
      </w:r>
    </w:p>
    <w:p>
      <w:r>
        <w:t>Mit ihrer sinngemässen Rüge der Verletzung von Art. 18 OR vermag die Beschwerdeführerin daher keine Bundesrechtsverletzung durch die Vorinstanz aufzuzeigen. Vielmehr ist die Vorinstanz zu Recht zum Ergebnis gekommen, dass die nach der Auflösung des Konkubinats entstandene Forderung des Beschwerdegegners bezüglich der Aktien nicht von der Saldoklausel erfasst ist.</w:t>
      </w:r>
    </w:p>
    <w:p>
      <w:r>
        <w:rPr>
          <w:b/>
        </w:rPr>
        <w:t>E. 4.5</w:t>
      </w:r>
    </w:p>
    <w:p>
      <w:r>
        <w:t>Schliesslich verlangt die Beschwerdeführerin in ihrem Rechtsbegehren eine Neuregelung der Kosten- und Entschädigungsfolgen des vorinstanzlichen Berufungsverfahrens. Sie begründet dies jedoch in ihrer Beschwerdeschrift nicht weiter, sodass darauf nicht einzutreten ist (vgl. Erwägung 2.1).</w:t>
      </w:r>
    </w:p>
    <w:p>
      <w:r>
        <w:rPr>
          <w:b/>
        </w:rPr>
        <w:t>E. 5</w:t>
      </w:r>
    </w:p>
    <w:p>
      <w:r>
        <w:t>Nach dem Ausgeführten ist die Beschwerde abzuweisen, soweit auf sie eingetreten werden kann. Bei diesem Ausgang des Verfahrens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