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6/2024 vom 30. Januar 2024</w:t>
      </w:r>
    </w:p>
    <w:p>
      <w:r>
        <w:t>Bundesgericht, 2024-01-30, DE</w:t>
      </w:r>
    </w:p>
    <w:p>
      <w:r>
        <w:rPr>
          <w:b/>
        </w:rPr>
        <w:t xml:space="preserve">Quelle: </w:t>
      </w:r>
      <w:r>
        <w:t>https://mcp.opencaselaw.ch/entscheid/bger_4A_6_2024</w:t>
      </w:r>
    </w:p>
    <w:p>
      <w:r>
        <w:t>FR: TF 4A 6/2024 du 30 janvier 2024</w:t>
      </w:r>
    </w:p>
    <w:p>
      <w:r>
        <w:t>IT: TF 4A 6/2024 del 30 gennaio 2024</w:t>
      </w:r>
    </w:p>
    <w:p>
      <w:pPr>
        <w:pStyle w:val="Heading2"/>
      </w:pPr>
      <w:r>
        <w:t>Regeste</w:t>
      </w:r>
    </w:p>
    <w:p>
      <w:r>
        <w:t>Rechtsöffnung, | Schuldbetreibungs- und Konkursrecht</w:t>
      </w:r>
    </w:p>
    <w:p>
      <w:pPr>
        <w:pStyle w:val="Heading2"/>
      </w:pPr>
      <w:r>
        <w:t>Erwägungen</w:t>
      </w:r>
    </w:p>
    <w:p>
      <w:r>
        <w:rPr>
          <w:b/>
        </w:rPr>
        <w:t>E. 1</w:t>
      </w:r>
    </w:p>
    <w:p>
      <w:r>
        <w:t>Mit Urteil vom 2. November 2023 erteilte das Einzelgericht Audienz am Bezirksgericht Zürich dem Beschwerdegegner in der Betreibung Nr. xxx des Betreibungsamts Zürich 10 (Zahlungsbefehl vom (...)) definitive Rechtsöffnung für Fr. 73'911.-- nebst Zins. Im Mehrbetrag wies es das Begehren ab. Die dagegen von der Beschwerdeführerin erhobene Beschwerde wies das Obergericht des Kantons Zürich mit Urteil vom 27. November 2023 ab, soweit es darauf eintrat. Gegen den Entscheid des Obergerichts erhebt die Beschwerdeführerin mit Eingabe vom 4. Januar 2024 Beschwerde an das Bundesgericht. Auf das Einholen von Vernehmlassungen zur Beschwerde wurde verzichtet.</w:t>
      </w:r>
    </w:p>
    <w:p>
      <w:r>
        <w:rPr>
          <w:b/>
        </w:rPr>
        <w:t>E. 2.1</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Diese Begründungsanforderungen erfüllt die Eingabe der Beschwerdeführerin vom 4. Januar 2024 offensichtlich nicht.</w:t>
      </w:r>
    </w:p>
    <w:p>
      <w:r>
        <w:rPr>
          <w:b/>
        </w:rPr>
        <w:t>E. 3.1</w:t>
      </w:r>
    </w:p>
    <w:p>
      <w:r>
        <w:t>Sie wiederholt darin ihr Vorbringen, dass sie die Erbschaftssteuern bereits bezahlt habe, ohne sich aber mit den diesbezüglichen Erwägungen der Vorinstanz auseinanderzusetzen, welche diesen Standpunkt bereits widerlegte.</w:t>
      </w:r>
    </w:p>
    <w:p>
      <w:r>
        <w:rPr>
          <w:b/>
        </w:rPr>
        <w:t>E. 3.2</w:t>
      </w:r>
    </w:p>
    <w:p>
      <w:r>
        <w:t>Die Beschwerdeführerin beantragt sodann, dass ihr "Lohn und Entschädigung zurückzubezahlen" sei, ohne aber diesen Antrag nachvollziehbar zu begründen.</w:t>
      </w:r>
    </w:p>
    <w:p>
      <w:r>
        <w:rPr>
          <w:b/>
        </w:rPr>
        <w:t>E. 3.3</w:t>
      </w:r>
    </w:p>
    <w:p>
      <w:r>
        <w:t>Im Übrigen schildert sie in ihrer Eingabe bloss in frei gehaltenen Ausführungen ihre Sicht der Dinge, ohne auf die Erwägungen der Vorinstanz hinreichend konkret einzugehen, geschweige denn nachvollziehbar aufzuzeigen, welche Rechte die Vorinstanz mit ihrem Entscheid inwiefern verletzt haben soll.</w:t>
      </w:r>
    </w:p>
    <w:p>
      <w:r>
        <w:rPr>
          <w:b/>
        </w:rPr>
        <w:t>E. 3.4</w:t>
      </w:r>
    </w:p>
    <w:p>
      <w:r>
        <w:t>Auf die Beschwerde ist somit mangels hinreichender Begründung nicht einzutreten ( Art. 108 Abs. 1 lit. b BGG ).</w:t>
      </w:r>
    </w:p>
    <w:p>
      <w:r>
        <w:rPr>
          <w:b/>
        </w:rPr>
        <w:t>E. 4</w:t>
      </w:r>
    </w:p>
    <w:p>
      <w:r>
        <w:t>Bei diesem Ausgang des Verfahrens sind die Gerichtskosten der Beschwerdeführerin aufzuerlegen ( Art. 66 Abs. 1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