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4A_69/2024 vom 3. September 2024</w:t>
      </w:r>
    </w:p>
    <w:p>
      <w:r>
        <w:t>Bundesgericht, 2024-09-03, FR</w:t>
      </w:r>
    </w:p>
    <w:p>
      <w:r>
        <w:rPr>
          <w:b/>
        </w:rPr>
        <w:t xml:space="preserve">Quelle: </w:t>
      </w:r>
      <w:r>
        <w:t>https://mcp.opencaselaw.ch/entscheid/bger_4A_69_2024</w:t>
      </w:r>
    </w:p>
    <w:p>
      <w:r>
        <w:t>FR: TF 4A_69/2024 du 3 septembre 2024</w:t>
      </w:r>
    </w:p>
    <w:p>
      <w:r>
        <w:t>IT: TF 4A_69/2024 del 3 settembre 2024</w:t>
      </w:r>
    </w:p>
    <w:p>
      <w:pPr>
        <w:pStyle w:val="Heading2"/>
      </w:pPr>
      <w:r>
        <w:t>Erwägungen</w:t>
      </w:r>
    </w:p>
    <w:p>
      <w:r>
        <w:rPr>
          <w:b/>
        </w:rPr>
        <w:t>E. 1</w:t>
      </w:r>
    </w:p>
    <w:p>
      <w:r>
        <w:t>Interjeté dans le délai fixé par la loi ( art. 100 al. 1 et art. 46 al. 1 let . c LTF) par le demandeur, qui a succombé dans ses conclusions ( art. 76 al. 1 LTF ), et dirigé contre une décision finale ( art. 90 LTF ) rendue sur appel par le tribunal supérieur du canton de Genève ( art. 75 LTF ) dans une affaire civile ( art. 72 al. 1 LTF ) dont la valeur litigieuse dépasse 30'000 fr. ( art. 74 al. 1 let. b LTF ; ATF 137 III 32 consid. 2.3; arrêt 4A_84/2020 du 7 août 2020 consid. 1.2 et les arrêts cités),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w:t>
      </w:r>
    </w:p>
    <w:p>
      <w:r>
        <w:t>Le recours en matière civile peut être formé pour violation du droit fédéral ( art. 95 let. a LTF ), y compris le droit constitutionnel ( ATF 134 III 379 consid. 1.2; 133 III 446 consid. 4.1, 462 consid. 2.3). Il ne peut en revanche pas être interjeté pour violation du droit cantonal en tant que tel. Il est toutefois possible de faire valoir que la mauvaise application du droit cantonal constitue une violation du droit fédéral, en particulier qu'elle est arbitraire au sens de l' art. 9 Cst. ou contraire à d'autres droits constitutionnels ( ATF 138 I 1 consid. 2.1; 134 III 379 consid. 1.2; 133 III 462 consid. 2.3).</w:t>
      </w:r>
    </w:p>
    <w:p>
      <w:r>
        <w:rPr>
          <w:b/>
        </w:rPr>
        <w:t>E. 3</w:t>
      </w:r>
    </w:p>
    <w:p>
      <w:r>
        <w:t>Le recourant reproche à la cour cantonale d'avoir nié à tort la compétence à raison de la matière du Tribunal des prud'hommes et d'avoir ainsi violé l' art. 59 al. 2 let. b CPC et appliqué de manière arbitraire l'art. 1 al. 1 let. a de la loi du canton de Genève du 11 février 2010 sur le Tribunal des prud'hommes (LTPH/GE; RS/GE E 3 10).</w:t>
      </w:r>
    </w:p>
    <w:p>
      <w:r>
        <w:rPr>
          <w:b/>
        </w:rPr>
        <w:t>E. 3.1</w:t>
      </w:r>
    </w:p>
    <w:p>
      <w:r>
        <w:t>La cour cantonale a considéré que le Tribunal avait à raison retenu l'existence d'un abus de droit, soit un cas dans lequel il est fait exception à l'application de la théorie des faits doublement pertinents, et, partant, déclaré irrecevable la demande litigieuse.</w:t>
      </w:r>
    </w:p>
    <w:p>
      <w:r>
        <w:t>Elle a tout d'abord constaté des écarts patents entre les allégations du demandeur et les titres que celui-ci avait produits en vue de les démontrer. En effet, le demandeur, soit une personne physique, avait formulé des allégués portant sur une relation de travail soumise au droit suisse avec la société, soit une société anonyme inscrite au registre du commerce du canton de Genève, et dont le for du lieu d'exécution du travail serait à Genève, et avait conclu à l'octroi d'une rémunération pour une période s'étendant de 2015 à 2021. À l'appui de ces allégués, il s'était essentiellement fondé sur trois contrats de " consulting " conclus entre une structure de droit français (dont le demandeur affirmait qu'elle n'avait pas la personnalité juridique) et des entités de droits néerlandais, anglais et luxembourgeois, comportant des clauses d'élection de droit en faveur des droits de ces trois pays et datant respectivement de 2002, 2005 et 2009.</w:t>
      </w:r>
    </w:p>
    <w:p>
      <w:r>
        <w:t>Au vu des écarts patents entre ces allégations et ces titres, la cour cantonale a considéré qu'il incombait au demandeur de justifier, point par point, les faits propres à circonstancier au premier chef la conclusion des contrats produits, en particulier sous l'angle des parties contractantes, du libellé ainsi que du contenu de ces contrats. Elle a retenu qu'il n'avait toutefois rien allégué à ce sujet dans sa demande.</w:t>
      </w:r>
    </w:p>
    <w:p>
      <w:r>
        <w:t>La cour cantonale a également jugé que le Tribunal des prud'hommes avait retenu à bon droit que le demandeur n'avait rien allégué sur des points typiques d'un contrat de travail, tels que les vacances, les horaires et les charges sociales.</w:t>
      </w:r>
    </w:p>
    <w:p>
      <w:r>
        <w:t>Dès lors que l'argumentation du demandeur reposait avant tout sur des contrats qui ne permettaient pas de fonder un for en faveur d'une juridiction de droit du travail à Genève ainsi que sur des allégués lacunaires voire contradictoires, en particulier en tant qu'ils se rapportaient à sa propre déclaration de témoin assermenté dans une autre cause, à teneur de laquelle il était " mandaté par la défenderesse en qualité de consultant " et qui emportait une réfutation immédiate et sans équivoque des allégués de la demande, la cour cantonale a jugé que la demande apparaissait abusive et qu'elle ne méritait donc pas de protection.</w:t>
      </w:r>
    </w:p>
    <w:p>
      <w:r>
        <w:rPr>
          <w:b/>
        </w:rPr>
        <w:t>E. 3.2</w:t>
      </w:r>
    </w:p>
    <w:p>
      <w:r>
        <w:t>Le recourant soutient qu'il a allégué des éléments " largement suffisants à rendre crédible l'existence potentielle d'un contrat de travail ", soit le fait qu'il aurait exercé de nombreuses années en faveur de la société, travaillé exclusivement pour le groupe, perçu une rémunération fixe, bénéficié d'une adresse électronique et d'une ligne téléphonique de la société, travaillé dans les locaux de celle-ci et pris ses ordres de cadres de la société.</w:t>
      </w:r>
    </w:p>
    <w:p>
      <w:r>
        <w:t>En substance, il conteste l'existence d'un abus de droit et reproche à la cour cantonale (1) d'avoir prématurément examiné en détail la question de l'existence d'un contrat de travail et d'avoir choisi les éléments favorables à la thèse de la société, (2) d'avoir prématurément exigé des preuves quant à l'existence d'un contrat de travail et avant l'instruction des moyens de preuve, (3) d'avoir ignoré les développements de sa demande relatifs à la " qualification contractuelle des rapports de travail ", et (4) d'avoir pris en compte les arguments de la société intimée. Il soutient en outre qu'aucun élément ne permettrait de retenir que ses allégués seraient " faux " et qu'il n'avait pas tenté de déguiser la nature des rapports existant entre les parties.</w:t>
      </w:r>
    </w:p>
    <w:p>
      <w:r>
        <w:rPr>
          <w:b/>
        </w:rPr>
        <w:t>E. 3.3</w:t>
      </w:r>
    </w:p>
    <w:p>
      <w:r>
        <w:t>Sous couvert d'abus de droit, les instances cantonales ont en réalité examiné si les faits allégués par le demandeur étaient concluants (</w:t>
      </w:r>
    </w:p>
    <w:p>
      <w:r>
        <w:t>schlüssig ), autrement dit s'il pouvait en être déduit juridiquement l'existence d'un contrat de travail. En effet, selon la jurisprudence, le renvoi de l'administration des preuves sur les faits doublement pertinents à la phase du procès sur le fond ne dispense pas le juge d'examiner si les faits doublement pertinents allégués par le demandeur - censés établis - sont concluants; le tribunal doit examiner s'ils permettent juridiquement de déduire la qualification du contrat soutenue par le demandeur et, partant, le for; il s'agit là d'une question de droit ( ATF 147 III 159 consid. 2.1.2; 141 III 294 consid. 6.1; arrêt 4A_573/2015 du 3 mai 2016 consid. 5.2.2). Dans la mesure où le recourant ne conteste ni la contradiction évidente constatée par la cour cantonale entre ses allégations - censées établies - et la teneur des contrats qu'il a produits afin de justifier la qualification de contrat de travail, force est de constater que le recourant ne s'en prend pas à la motivation de la cour cantonale, de sorte que ses griefs sont irrecevables ( art. 42 al. 2 LTF )</w:t>
      </w:r>
    </w:p>
    <w:p>
      <w:r>
        <w:rPr>
          <w:b/>
        </w:rPr>
        <w:t>E. 4</w:t>
      </w:r>
    </w:p>
    <w:p>
      <w:r>
        <w:t>Au vu de ce qui précède, le recours doit être déclaré irrecevable.</w:t>
      </w:r>
    </w:p>
    <w:p>
      <w:r>
        <w:t>Les frais judiciaires et les dépens seront mis à la charge du recourant,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