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4A_69/2011 vom 29. März 2011</w:t>
      </w:r>
    </w:p>
    <w:p>
      <w:r>
        <w:t>Bundesgericht, 2011-03-29, DE</w:t>
      </w:r>
    </w:p>
    <w:p>
      <w:r>
        <w:rPr>
          <w:b/>
        </w:rPr>
        <w:t xml:space="preserve">Quelle: </w:t>
      </w:r>
      <w:r>
        <w:t>https://mcp.opencaselaw.ch/entscheid/bger_4A_69_2011</w:t>
      </w:r>
    </w:p>
    <w:p>
      <w:r>
        <w:t>FR: TF 4A_69/2011 du 29 mars 2011</w:t>
      </w:r>
    </w:p>
    <w:p>
      <w:r>
        <w:t>IT: TF 4A_69/2011 del 29 marzo 2011</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134 III 102 E. 1.1 S. 104 f.; 133 III 545 E. 2.2 S. 550).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 130 I 258 E. 1.3 S. 262).</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die Behebung des Mangels für den Ausgang des Verfahrens entscheidend sein kann ( Art. 97 Abs. 1 BGG ). "Offensichtlich unrichtig" bedeutet dabei "willkürlich" ( BGE 135 III 397 E. 1.5 S. 401).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 BGE 133 II 249 E. 1.4.3 S. 254 f.).</w:t>
      </w:r>
    </w:p>
    <w:p>
      <w:r>
        <w:rPr>
          <w:b/>
        </w:rPr>
        <w:t>E. 1.3</w:t>
      </w:r>
    </w:p>
    <w:p>
      <w:r>
        <w:t>Die Beschwerdeführerin verkennt die Bindung des Bundesgerichts an die vorinstanzlichen Sachverhaltsfeststellungen, wenn sie nunmehr vor Bundesgericht vorbringt, Anhang 4 sei nicht nur hinsichtlich der Zahlungskonditionen, sondern auch in Bezug auf den Lieferzeitpunkt der Ware abgeändert worden. Zudem findet der Hinweis auf eine weitere Vertragsklausel, die nach Ansicht der Beschwerdeführerin unterstreiche, dass der von ihr geltend gemachte überhöhte Endverkaufspreis der Grund für die Vertragsanpassungen gewesen sei, ebenso wenig eine Stütze in den Sachverhaltsfeststellungen des angefochtenen Entscheids wie die Behauptungen der Beschwerdeführerin hinsichtlich ihres Aktienkapitals. Ihre entsprechenden Vorbringen haben insoweit unbeachtet zu bleiben.</w:t>
      </w:r>
    </w:p>
    <w:p>
      <w:r>
        <w:rPr>
          <w:b/>
        </w:rPr>
        <w:t>E. 2</w:t>
      </w:r>
    </w:p>
    <w:p>
      <w:r>
        <w:t>Die Beschwerdeführerin rügt eine Verletzung von Art. 8 ZGB .</w:t>
      </w:r>
    </w:p>
    <w:p>
      <w:r>
        <w:rPr>
          <w:b/>
        </w:rPr>
        <w:t>E. 2.1</w:t>
      </w:r>
    </w:p>
    <w:p>
      <w:r>
        <w:t>Art. 8 ZGB regelt nach der Rechtsprechung einerseits für den Bereich des Bundeszivilrechts die Beweislastverteilung und gibt anderseits der beweispflichtigen Partei einen bundesrechtlichen Anspruch darauf, zum Beweis zugelassen zu werden, sofern ihr Beweisantrag rechtserhebliche Tatsachen betrifft und nach Form und Inhalt den Vorschriften des anwendbaren Prozessrechts entspricht ( BGE 133 III 295 E. 7.1 S. 299 mit Hinweisen). Mit welchen Mitteln der Sachverhalt abzuklären und wie das Ergebnis davon zu würdigen ist, schreibt diese Bestimmung dem Gericht dagegen nicht vor; sie schliesst selbst eine vorweggenommene Beweiswürdigung und Indizienbeweise nicht aus. Eine beschränkte Beweisabnahme verletzt Art. 8 ZGB daher nicht, wenn der Richter schon nach deren Ergebnis von der Sachdarstellung einer Partei überzeugt ist, gegenteilige Behauptungen also für unbewiesen hält ( BGE 130 III 591 E. 5.4 S. 601 f. mit Hinweisen).</w:t>
      </w:r>
    </w:p>
    <w:p>
      <w:r>
        <w:rPr>
          <w:b/>
        </w:rPr>
        <w:t>E. 2.2</w:t>
      </w:r>
    </w:p>
    <w:p>
      <w:r>
        <w:t>Die Beschwerdeführerin zeigt mit ihren Ausführungen keine Missachtung dieser Grundsätze auf. Zunächst ist nicht ersichtlich, inwiefern die Vorinstanz ihr Recht auf den Beweis verletzt hätte, zumal die Beschwerdeführerin nicht darlegt, mit welchem konkreten und prozesskonform beantragten Beweis sie nicht zugelassen worden wäre. Vielmehr übt sie mehrheitlich lediglich appellatorische Kritik an den im angefochtenen Entscheid gezogenen tatsächlichen Schlüssen hinsichtlich ihrer Zahlungsschwierigkeiten. Indem sie der Vorinstanz vorwirft, sie habe "im Ergebnis" ein deutlich geringeres Beweismass als dasjenige der hohen Wahrscheinlichkeit genügen lassen, zeigt sie ebenso wenig eine Verletzung von Art. 8 ZGB auf, zumal die Frage, ob der Beweis gemäss dem bundesrechtlich vorgegebenen Beweismass im konkreten Fall erbracht wurde, die Beweiswürdigung betrifft.</w:t>
      </w:r>
    </w:p>
    <w:p>
      <w:r>
        <w:t>Unbegründet ist auch die Rüge, die Vorinstanz habe "faktisch" eine "eigentliche Umkehr der Beweislast" bewirkt, indem sie der Beschwerdeführerin vorwerfe, es seien keinerlei Umstände dargelegt worden, die auf eine erhebliche Verbesserung ihrer finanziellen Situation seit den Vertragsanpassungen im Jahre 2008 schliessen lassen würden. Entgegen der Ansicht der Beschwerdeführerin hat die Vorinstanz damit keine unzulässige Umkehr der Beweislast vorgenommen, sondern aus den Umständen sowie dem prozessualen Verhalten der Beschwerdeführerin tatsächliche Schlüsse hinsichtlich der Zahlungsschwierigkeiten im Urteilszeitpunkt gezogen.</w:t>
      </w:r>
    </w:p>
    <w:p>
      <w:r>
        <w:t>Schliesslich rügt die Beschwerdeführerin richtig besehen eine Verletzung von Art. 697h Abs. 2 OR und nicht der Beweislastregel von Art. 8 ZGB , wenn sie der Vorinstanz etwa vorwirft, die Höhe der geltend gemachten Forderung sei kein ausschlaggebendes Kriterium für das nach dieser Bestimmung vorausgesetzte schützenswerte Interesse.</w:t>
      </w:r>
    </w:p>
    <w:p>
      <w:r>
        <w:rPr>
          <w:b/>
        </w:rPr>
        <w:t>E. 3</w:t>
      </w:r>
    </w:p>
    <w:p>
      <w:r>
        <w:t>Die Beschwerdeführerin rügt, die Vorinstanz habe die vorhandenen Urkundenbeweise willkürlich gewürdigt und damit gegen Art. 9 BV verstossen.</w:t>
      </w:r>
    </w:p>
    <w:p>
      <w:r>
        <w:rPr>
          <w:b/>
        </w:rPr>
        <w:t>E. 3.1</w:t>
      </w:r>
    </w:p>
    <w:p>
      <w:r>
        <w:t>Sie bringt vor, die Vorinstanz habe bei ihren tatsächlichen Feststellungen hinsichtlich der Zahlungsschwierigkeiten der Beschwerdeführerin einzig auf die Tatsache der mehrfachen Änderung der Zahlungsmodalitäten abgestellt und damit sämtliche übrigen Gesichtspunkte, die gegen eine Gefährdung der Einbringlichkeit der streitigen Forderung der Beschwerdegegnerin gesprochen hätten, ausser Acht gelassen. Da diese verschiedenen Umstände bei der Beurteilung der Gefährdung der Einbringlichkeit der geltend gemachten Forderung unberücksichtigt geblieben seien, liege eine einseitige Beweiswürdigung zugunsten der Beschwerdegegnerin vor, was als willkürliche Sachverhaltsfeststellung zu werten sei.</w:t>
      </w:r>
    </w:p>
    <w:p>
      <w:r>
        <w:rPr>
          <w:b/>
        </w:rPr>
        <w:t>E. 3.2</w:t>
      </w:r>
    </w:p>
    <w:p>
      <w:r>
        <w:t>Die Beschwerdeführerin verkennt mit ihren Vorbringen die Begründungsanforderungen an eine Willkürrüge ( Art. 106 Abs. 2 BGG ) sowie die grundsätzliche Bindung des Bundesgerichts an die tatsächlichen Feststellungen im angefochtenen Entscheid ( Art. 105 Abs. 1 BGG ), wenn sie in ihrer Beschwerde unter Hinweis auf diverse Akten des erstinstanzlichen Verfahrens verschiedene Umstände aufzählt, die ihrer Ansicht nach gegen die festgestellten Zahlungsschwierigkeiten sprechen.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134 II 244 E. 2.2 S. 246; 133 II 249 E. 1.4.3 S. 254 f.; je mit Hinweisen).</w:t>
      </w:r>
    </w:p>
    <w:p>
      <w:r>
        <w:t>Die Vorinstanz hat die Argumente der Beschwerdeführerin, wie die per 31. Mai 2008 erfolgte Anzahlung von EUR 210'000.-- sowie die gezahlten Gerichtskostenvorschüsse und Parteientschädigungen, im Übrigen berücksichtigt, jedoch angesichts der im Rechtsöffnungsverfahren ausgewiesenen Forderung der Beschwerdegegnerin im Umfang von Fr. 1.268 Mio. sowie der mehrfachen Änderungen der Zahlungsmodalitäten nicht für massgeblich erachtet. Soweit in einer Beschwerde Willkür in der Ermittlung des Sachverhalts geltend gemacht wird, ist zu beachten, dass dem Sachrichter in der Beweiswürdigung ein breiter Ermessensspielraum zusteht. Die Beschwerdeführerin legt nicht dar, inwiefern die Vorinstanz ihr Ermessen missbraucht hätte und die gezogenen tatsächlichen Schlüsse auch im Ergebnis offensichtlich unhaltbar wären (vgl. BGE 136 III 552 E. 4.2 S. 560 ; 129 I 8 E. 2.1 S. 9; je mit Hinweisen).</w:t>
      </w:r>
    </w:p>
    <w:p>
      <w:r>
        <w:rPr>
          <w:b/>
        </w:rPr>
        <w:t>E. 4</w:t>
      </w:r>
    </w:p>
    <w:p>
      <w:r>
        <w:t>Die Beschwerdeführerin wirft der Vorinstanz eine unrichtige Anwendung von Art. 697h Abs. 2 OR vor.</w:t>
      </w:r>
    </w:p>
    <w:p>
      <w:r>
        <w:rPr>
          <w:b/>
        </w:rPr>
        <w:t>E. 4.1.1</w:t>
      </w:r>
    </w:p>
    <w:p>
      <w:r>
        <w:t>Gemäss Art. 697h Abs. 1 OR ist eine Aktiengesellschaft verpflichtet, Jahresrechnung und Konzernrechnung nach Abnahme durch die Generalversammlung mit den Revisionsberichten offenzulegen, wenn sie Anleihensobligationen ausstehend hat oder die Aktien der Gesellschaft an einer Börse kotiert sind.</w:t>
      </w:r>
    </w:p>
    <w:p>
      <w:r>
        <w:t>Die übrigen Aktiengesellschaften unterliegen keiner besonderen Offenlegungspflicht. Nach Abs. 2 von Art. 697h OR müssen sie jedoch den Gläubigern, die ein schutzwürdiges Interesse nachweisen, Einsicht in die Jahresrechnung, die Konzernrechnung und die Revisionsberichte gewähren.</w:t>
      </w:r>
    </w:p>
    <w:p>
      <w:r>
        <w:rPr>
          <w:b/>
        </w:rPr>
        <w:t>E. 4.1.2</w:t>
      </w:r>
    </w:p>
    <w:p>
      <w:r>
        <w:t>Der Gesuchsteller, der gegenüber einer Gesellschaft Einsicht verlangt, die den Kapitalmarkt nicht in Anspruch nimmt, hat grundsätzlich sowohl seine Gläubigerstellung als auch ein schutzwürdiges Interesse nachzuweisen. Dem Entscheid über das Einsichtsrecht kommt, auch wenn er im summarischen Verfahren erfolgt, materielle Rechtskraft zu, weshalb es nicht ausreicht, die Anspruchsvoraussetzungen bloss glaubhaft zu machen ( BGE 120 II 352 E. 2b S. 355). Dennoch gilt es zu beachten, dass die Rechtsdurchsetzung nicht an Beweisschwierigkeiten scheitern darf, die typischerweise bei bestimmten Sachverhalten auftreten (vgl. BGE 130 III 321 E. 3.2 S. 324; 128 III 271 E. 2b/aa S. 275), weshalb der Gesuchsteller seine Gläubigerstellung nach bundesgerichtlicher Rechtsprechung nicht strikte zu beweisen hat, sondern der Beweis als erbracht gilt, wenn diese mit hoher Wahrscheinlichkeit ausgewiesen ist (Urteile 4C.129/2004 vom 6. Juli 2004 E. 4.2.1; 4C.244/1995 vom 17. November 1995 E. 3b/aa; 4C.222/1994 vom 1. Dezember 1994 E. 4a, publ. in SJ 1995 S. 306 f.; vgl. unter der Herrschaft von aArt. 704 OR bereits BGE 111 II 281 E. 2 S. 282). Andernfalls könnte die Gesellschaft die Durchsetzung des Einsichtsrechts einfach durch Bestreitung der Forderung des gesuchstellenden Gläubigers verhindern (vgl. bereits WOLFHART BÜRGI, Zürcher Kommentar, 1969, N. 6 zu aArt. 704 OR).</w:t>
      </w:r>
    </w:p>
    <w:p>
      <w:r>
        <w:t>Für den Nachweis des schutzwürdigen Interesses gelten nach der Rechtsprechung grundsätzlich dieselben Anforderungen an das Beweismass (Urteile 4C.129/2004 vom 6. Juli 2004 E. 4.2.1; 4C.222/1994 vom 1. Dezember 1994 E. 4a, publ. in SJ 1995 S. 306 f.).</w:t>
      </w:r>
    </w:p>
    <w:p>
      <w:r>
        <w:rPr>
          <w:b/>
        </w:rPr>
        <w:t>E. 4.1.3</w:t>
      </w:r>
    </w:p>
    <w:p>
      <w:r>
        <w:t>Wann ein vom Gesuchsteller geltend gemachtes Interesse als schutzwürdig zu betrachten ist, kann nicht abschliessend umschrieben werden. Vielmehr ist unter Berücksichtigung der Umstände zu entscheiden, ob eine Interessenlage vorliegt, die eine Einsichtnahme des Gläubigers in die - ansonsten vertraulichen - Unterlagen im konkreten Fall rechtfertigt.</w:t>
      </w:r>
    </w:p>
    <w:p>
      <w:r>
        <w:t>Nicht ausreichend ist zunächst ein allgemeines Interesse, das sich aus dem blossen Umstand der Gläubigereigenschaft ergibt, zumal Art. 697h Abs. 2 OR mit dem Nachweis des schutzwürdigen Interesses ausdrücklich eine zusätzliche Voraussetzung vorsieht. Der Gesuchsteller hat vielmehr konkret aufzuzeigen, wozu ihm die durch die beantragte Einsicht gewonnene Information dienen soll.</w:t>
      </w:r>
    </w:p>
    <w:p>
      <w:r>
        <w:t>Nicht schützenswert wäre etwa eine Einsichtnahme lediglich zur Befriedigung der Neugierde, zur Kenntnisnahme von Geschäftsgeheimnissen (soweit dies aufgrund des beschränkten Umfangs der Einsicht überhaupt denkbar ist) oder zur Auskundschaftung von Konkurrenzverhältnissen. Demgegenüber liegt ein berechtigtes Einsichtsinteresse vor, wenn die Forderung gefährdet erscheint, also nicht fristgerecht beglichen wird, oder wenn andere Anzeichen vorliegen, die auf finanzielle Schwierigkeiten hindeuten (Botschaft vom 23. Februar 1983 über die Revision des Aktienrechts, BBl 1983 912; Urteil 4C.129/2004 vom 6. Juli 2004 E. 4.2.1). Dabei muss der gesuchstellende Gläubiger nicht etwa Zahlungsschwierigkeiten der Gesellschaft, geschweige denn die Uneinbringlichkeit seiner Forderung beweisen, ansonsten das Einsichtsrecht nach Art. 697h Abs. 2 OR , das letztlich dem Gläubiger- sowie dem Systemschutz dient, regelmässig zu spät greifen und damit seinen Zweck verfehlen würde. Vielmehr muss ausreichen, wenn er konkrete Umstände nachweist, die sein Informationsbedürfnis in objektiver Hinsicht als schutzwürdig erscheinen lassen. Dazu sollte es genügen, wenn die auf konkreten Anzeichen beruhenden Zweifel des Gläubigers an der Zahlungsfähigkeit der Gesellschaft als begründet zu erachten sind und sich nur durch die Einsicht in Jahresrechnung bzw. Konzernrechnung und Revisionsberichte (gegebenenfalls) beseitigen lassen.</w:t>
      </w:r>
    </w:p>
    <w:p>
      <w:r>
        <w:t>Bei der Beurteilung des schützenswerten Interesses an der Einsichtnahme sind demnach keine allzu strengen Massstäbe anzuwenden (vgl. bereits Botschaft, a.a.O., S. 913). Als schutzwürdig zu betrachten ist die Einsichtnahme auch regelmässig nach Einleitung eines nicht offensichtlich aussichtslosen Forderungsprozesses gegen die Gesellschaft (Botschaft, a.a.O., S. 913; Urteil 4C.129/2004 vom 6. Juli 2004 E. 4.2.1; ROLF H. WEBER, in: Basler Kommentar, Obligationenrecht II, 3. Aufl. 2008, N. 7 zu Art. 697h OR ; BIANCA PAULI, in: Commentaire romand, Code des obligations II, 2008, N. 8 zu Art. 697h OR ) oder bereits nachdem konkrete Schritte im Hinblick auf eine Klageeinreichung unternommen worden sind (Urteil 4C.244/1995 vom 17. November 1995 E. 3c). Auch wenn solche Umstände keine Schlüsse hinsichtlich der Einbringlichkeit der Forderung zulassen, ist die Einsichtnahme unmittelbar auf die Beurteilung der finanziellen Verhältnisse der Schuldnerin gerichtet und erlaubt dem klagenden Gläubiger die Abschätzung des Kostenrisikos. Dem Gläubiger kann ein schützenswertes Interesse daran, zunächst die Zahlungsfähigkeit der schuldnerischen Gesellschaft zu prüfen, bevor er allenfalls weitere Mittel für die Durchsetzung seiner Forderung aufwendet, kaum abgesprochen werden.</w:t>
      </w:r>
    </w:p>
    <w:p>
      <w:r>
        <w:t>Auch bei einer solchen Konstellation bedarf es jedoch einer Interessenabwägung im konkreten Fall. Bei einer blossen Bagatellforderung etwa wird ein schützenswertes Interesse an einer vorhergehenden Einsichtnahme tendenziell eher zu bezweifeln sein (vgl. PETER V. KUNZ, Transparenz für den Gläubiger der Aktiengesellschaft, SJZ 99/2003 S. 59 f.). Ebenso wenig würde die Einleitung eines Prozesses mit dem blossen Zweck, Einsicht in die Geschäftsunterlagen des Prozessgegners zu erlangen, einen Einsichtsanspruch begründen.</w:t>
      </w:r>
    </w:p>
    <w:p>
      <w:r>
        <w:rPr>
          <w:b/>
        </w:rPr>
        <w:t>E. 4.2</w:t>
      </w:r>
    </w:p>
    <w:p>
      <w:r>
        <w:t>Die Gläubigereigenschaft der Beschwerdegegnerin ist im zu beurteilenden Fall nicht mehr Gegenstand des Beschwerdeverfahrens. Strittig ist nurmehr die Anspruchsvoraussetzung des schutzwürdigen Interesses nach Art. 697h Abs. 2 OR .</w:t>
      </w:r>
    </w:p>
    <w:p>
      <w:r>
        <w:rPr>
          <w:b/>
        </w:rPr>
        <w:t>E. 4.2.1</w:t>
      </w:r>
    </w:p>
    <w:p>
      <w:r>
        <w:t>Die Beschwerdeführerin hat, nachdem der Beschwerdegegnerin für den Betrag von Fr. 1'268'307.60 nebst Zins provisorische Rechtsöffnung erteilt worden war, Aberkennungsklage gegen die Beschwerdegegnerin erhoben. Angesichts der Kosten, die bei einem ordentlichen Zivilprozess anfallen, der sich möglicherweise über mehrere Instanzen hinziehen kann, hat die Beschwerdegegnerin ein legitimes Interesse daran, ihr Kostenrisiko abschätzen zu können, zumal selbst eine allenfalls von der Beschwerdeführerin zu leistende Sicherheit für die zu erwartende Parteientschädigung kaum sämtliche Kosten decken würde, die für die Prozessführung anfallen. Die Beschwerdegegnerin hat ein schutzwürdiges Interesse daran, vorab abschätzen zu können, ob sie im Fall ihres Obsiegens überhaupt mit der Befriedigung ihrer Forderung rechnen kann. Entgegen dem, was die Beschwerdeführerin anzunehmen scheint, ist der Umfang der von der Beschwerdegegnerin geltend gemachten Forderung bei der Beurteilung der Anspruchsvoraussetzung des schutzwürdigen Interesses immerhin insofern zu berücksichtigen, als dieser das Vorliegen einer blossen Bagatellforderung ausschliesst. Die Beschwerdeführerin hat zudem keine Umstände aufgezeigt, aus denen auf eine zweckwidrige Einsicht in die nach Art. 697h Abs. 2 OR vorgesehenen Geschäftsunterlagen zu schliessen wäre.</w:t>
      </w:r>
    </w:p>
    <w:p>
      <w:r>
        <w:rPr>
          <w:b/>
        </w:rPr>
        <w:t>E. 4.2.2</w:t>
      </w:r>
    </w:p>
    <w:p>
      <w:r>
        <w:t>Die Vorinstanz hat zudem in tatsächlicher Hinsicht ohne Verletzung des Willkürverbots festgestellt, es sei als sehr wahrscheinlich zu betrachten, dass die wiederholte Anpassung der Zahlungsmodalitäten in Anhang 4 zum Rahmenvertrag im Verlauf des Jahres 2008 ihren Grund in den Zahlungsschwierigkeiten der Beschwerdeführerin hatte. Damit hat sich die Vorinstanz entgegen der Ansicht der Beschwerdeführerin nicht mit einem blossen Glaubhaftmachen zufriedengegeben, sondern bewegt sich im Rahmen des vom Bundesgericht in seiner bisherigen Rechtsprechung als massgeblich erachteten Beweismasses. Die Vorinstanz hat Art. 697h Abs. 2 OR nicht verletzt, wenn sie angesichts der festgestellten Zahlungsschwierigkeiten der Beschwerdeführerin - auch unabhängig vom hängigen Aberkennungsprozess - ein schutzwürdiges Einsichtsinteresse der Beschwerdegegnerin bejahte.</w:t>
      </w:r>
    </w:p>
    <w:p>
      <w:r>
        <w:t>Insgesamt ist der Vorinstanz keine Verletzung von Art. 697h Abs. 2 OR vorzuwerfen, wenn sie dem Einsichtsgesuch der Beschwerdegegnerin stattgab.</w:t>
      </w:r>
    </w:p>
    <w:p>
      <w:r>
        <w:rPr>
          <w:b/>
        </w:rPr>
        <w:t>E. 5</w:t>
      </w:r>
    </w:p>
    <w:p>
      <w:r>
        <w:t>Die Beschwerde erweist sich als unbegründet und ist abzuweisen, soweit darauf eingetreten werden kann. Dem Ausgang des Verfahrens entsprechend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