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4A_68/2021 vom 12. April 2021</w:t>
      </w:r>
    </w:p>
    <w:p>
      <w:r>
        <w:t>Bundesgericht, 2021-04-12, DE</w:t>
      </w:r>
    </w:p>
    <w:p>
      <w:r>
        <w:rPr>
          <w:b/>
        </w:rPr>
        <w:t xml:space="preserve">Quelle: </w:t>
      </w:r>
      <w:r>
        <w:t>https://mcp.opencaselaw.ch/entscheid/bger_4A_68_2021</w:t>
      </w:r>
    </w:p>
    <w:p>
      <w:r>
        <w:t>FR: TF 4A_68/2021 du 12 avril 2021</w:t>
      </w:r>
    </w:p>
    <w:p>
      <w:r>
        <w:t>IT: TF 4A_68/2021 del 12 aprile 2021</w:t>
      </w:r>
    </w:p>
    <w:p>
      <w:pPr>
        <w:pStyle w:val="Heading2"/>
      </w:pPr>
      <w:r>
        <w:t>Erwägungen</w:t>
      </w:r>
    </w:p>
    <w:p>
      <w:r>
        <w:rPr>
          <w:b/>
        </w:rPr>
        <w:t>E. 1</w:t>
      </w:r>
    </w:p>
    <w:p>
      <w:r>
        <w:t>Mit Eingabe vom 12. Juni 2017 reichte der Beschwerdeführer eine Klage am Arbeitsgericht des Bezirks U.________ gegen die Beschwerdegegnerin ein. Er machte dabei im Sinne einer Teilklage verschiedene Ansprüche aus seinem ehemaligen Arbeitsverhältnis mit dem Verein C.________ geltend, der seine Aktiven und Passiven per 28. Juni 2013 auf die Beschwerdegegnerin übertrug. Er verlangte - kurz zusammengefasst - die Ausstellung von Lohnausweisen (Ziff. 1), die Bezahlung von zuviel abgerechneten AHV-Arbeitnehmerbeiträgen (Ziff. 2), die Bezahlung von Fr. 24'469.80 nebst Zins für "geleistete Lohnarbeit" (Ziff. 3) und die Übernahme von Auslagen (Ziff. 4), alles unter Entschädigungsfolge zu Lasten der Beschwerdegegnerin (Ziff. 5).</w:t>
      </w:r>
    </w:p>
    <w:p>
      <w:r>
        <w:t>Das Arbeitsgericht schrieb mit Verfügung und Urteil vom 12. Dezember 2019 das Rechtsbegehren Ziff. 1 als gegenstandslos ab, trat auf das Rechtsbegehren Ziff. 2 nicht ein und wies im Übrigen die Klage ab.</w:t>
      </w:r>
    </w:p>
    <w:p>
      <w:r>
        <w:t>Die dagegen erhobene Berufung des Beschwerdeführers wies das Obergericht des Kantons Zürich mit Urteil vom 17. Dezember 2020 ab, soweit es überhaupt darauf eintrat, und bestätigte die Verfügung und das Urteil des Arbeitsgerichts.</w:t>
      </w:r>
    </w:p>
    <w:p>
      <w:r>
        <w:t>Gegen das Urteil des Obergerichts erhob der Beschwerdeführer mit Eingabe vom 25. Januar 2021 Beschwerde an das Bundesgericht. Am 4. Februar und 1. März 2021 liess er dem Bundesgericht eine weitere Eingabe zukommen.</w:t>
      </w:r>
    </w:p>
    <w:p>
      <w:r>
        <w:t>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rügt, dass die Sachverhaltsdarstellung der Vorinstanz "nicht nachvollziehbar" sei und beanstandet an mehreren Stellen in seinen Eingaben die Feststellung des Sachverhalts durch die Vorinstanz. Seine diesbezüglichen Ausführungen genügen aber den oben genannten Begründungsanforderungen an Sachverhaltsrügen offensichtlich nicht (Erwägung 2.2). Im Weiteren schildert der Beschwerdeführer an anderen Orten seiner Eingaben den Sachverhalt aus eigener Sicht und geht dabei frei über den von der Vorinstanz festgestellten Sachverhalt hinaus, ohne eine hinreichende Sachverhaltsrüge zu erheben. Auf diese tatsächlichen Elemente kann er sich im bundesgerichtlichen Verfahren nicht stützen.</w:t>
      </w:r>
    </w:p>
    <w:p>
      <w:r>
        <w:rPr>
          <w:b/>
        </w:rPr>
        <w:t>E. 3.2</w:t>
      </w:r>
    </w:p>
    <w:p>
      <w:r>
        <w:t>Der Beschwerdeführer stellt sich auf den Standpunkt, dass ihm gestützt auf die Bestimmung von Art. 49 Abs. 3 ATSG des Bundesgesetzes vom 6. Oktober 2000 über den Allgemeinen Teil des Sozialversicherungsrechts (ATSG; SR 830.1) im kantonalen Verfahren keine Kosten- und Entschädigungsfolgen hätten auferlegt werden dürfen.</w:t>
      </w:r>
    </w:p>
    <w:p>
      <w:r>
        <w:t>Auch diesbezüglich legt der Beschwerdeführer offensichtlich nicht nachvollziehbar dar, warum er gestützt auf die genannte Bestimmung bei Unterliegen die Kosten- und Entschädigungsfolgen nicht zu tragen hätte (Erwägung 2.1). Dem Beschwerdeführer wurde ausserdem bereits mit Urteil vom 4A_504/2020 vom 29. Oktober 2020 E. 5.2 bezüglich der gleichen Arbeitsstreitigkeit mit der Beschwerdegegnerin dargelegt, dass er aus der genannten Norm des ATSG bezüglich der Kostenfolgen nichts zu seinen Gunsten ableiten könne.</w:t>
      </w:r>
    </w:p>
    <w:p>
      <w:r>
        <w:rPr>
          <w:b/>
        </w:rPr>
        <w:t>E. 3.3</w:t>
      </w:r>
    </w:p>
    <w:p>
      <w:r>
        <w:t>Auch im Übrigen erfüllen die Eingaben des Beschwerdeführers die genannten Begründungsanforderungen offensichtlich nicht. Er rügt darin zwar eine Verletzung einer Vielzahl von Gesetzes- und Verfassungsbestimmungen und moniert, dass die EMRK durch den Entscheid der Vorinstanz verletzt worden sei. Er legt dafür aber bloss in frei gehaltenen Ausführungen seine Sicht der Dinge dar, ohne indessen auf die ausführlichen Erwägungen der Vorinstanz hinreichend konkret einzugehen, geschweige denn nachvollziehbar aufzuzeigen, inwiefern diese seine Rechte verletzt haben soll.</w:t>
      </w:r>
    </w:p>
    <w:p>
      <w:r>
        <w:rPr>
          <w:b/>
        </w:rPr>
        <w:t>E. 3.4</w:t>
      </w:r>
    </w:p>
    <w:p>
      <w:r>
        <w:t>Auf die Beschwerde ist somit mangels hinreichender Begründung nicht einzutreten ( Art. 108 Abs. 1 lit. b BGG ).</w:t>
      </w:r>
    </w:p>
    <w:p>
      <w:r>
        <w:rPr>
          <w:b/>
        </w:rPr>
        <w:t>E. 4</w:t>
      </w:r>
    </w:p>
    <w:p>
      <w:r>
        <w:t>Der Beschwerdeführer stützt sich auch für das bundesgerichtliche Verfahren auf die oben genannten Bestimmung von Art. 49 Abs. 3 ATSG und verlangt, dass die Kosten- und Entschädigungsfolgen der Beschwerdegegnerin aufzuerlegen sind.</w:t>
      </w:r>
    </w:p>
    <w:p>
      <w:r>
        <w:t>Auch dafür legt er offensichtlich nicht nachvollziehbar dar, warum ihm gestützt auf diese Bestimmung bei Unterliegen im bundesgerichtlichen Verfahren keine Gerichtskosten auferlegt werden könnten. Es hat damit sein Bewenden.</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