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4A_68/2020 vom 2. September 2020</w:t>
      </w:r>
    </w:p>
    <w:p>
      <w:r>
        <w:t>Bundesgericht, 2020-09-02, FR</w:t>
      </w:r>
    </w:p>
    <w:p>
      <w:r>
        <w:rPr>
          <w:b/>
        </w:rPr>
        <w:t xml:space="preserve">Quelle: </w:t>
      </w:r>
      <w:r>
        <w:t>https://mcp.opencaselaw.ch/entscheid/bger_4A_68_2020</w:t>
      </w:r>
    </w:p>
    <w:p>
      <w:r>
        <w:t>FR: TF 4A_68/2020 du 2 septembre 2020</w:t>
      </w:r>
    </w:p>
    <w:p>
      <w:r>
        <w:t>IT: TF 4A_68/2020 del 2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4A_68/2020 est rayée du rôle.</w:t>
      </w:r>
    </w:p>
    <w:p>
      <w:r>
        <w:rPr>
          <w:b/>
        </w:rPr>
        <w:t>E. 3</w:t>
      </w:r>
    </w:p>
    <w:p>
      <w:r>
        <w:t>Un émolument judiciaire de 500 fr. est mis à la charge de la recourante.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au Tribunal arbitral avec siège à Zurich.</w:t>
      </w:r>
    </w:p>
    <w:p>
      <w:r>
        <w:t>Lausanne, le 2 septembre 2020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