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4A_68/2017 vom 14. Juli 2017</w:t>
      </w:r>
    </w:p>
    <w:p>
      <w:r>
        <w:t>Bundesgericht, 2017-07-14, DE</w:t>
      </w:r>
    </w:p>
    <w:p>
      <w:r>
        <w:rPr>
          <w:b/>
        </w:rPr>
        <w:t xml:space="preserve">Quelle: </w:t>
      </w:r>
      <w:r>
        <w:t>https://mcp.opencaselaw.ch/entscheid/bger_4A_68_2017</w:t>
      </w:r>
    </w:p>
    <w:p>
      <w:r>
        <w:t>FR: TF 4A_68/2017 du 14 juillet 2017</w:t>
      </w:r>
    </w:p>
    <w:p>
      <w:r>
        <w:t>IT: TF 4A_68/2017 del 14 luglio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Angefochten ist ein Endentscheid einer letzten kantonalen Instanz ( Art. 75 Abs. 1 und Art. 90 BGG ). Das Streitwerterfordernis ( Art. 74 Abs. 1 lit. b BGG ) ist erfüllt, die Beschwerdeführerin ist mit ihren Begehren unterlegen ( Art. 76 BGG ) und die Beschwerde ist innert der Beschwerdefrist eingereicht worden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rügt, die Vorinstanz habe das Verschulden des Beschwerdegegners und somit ihren Anspruch auf Genugtuung nach Art. 47 OR zu Unrecht verneint, worin eine Verletzung von Art. 41 OR zu erblicken sei.</w:t>
      </w:r>
    </w:p>
    <w:p>
      <w:r>
        <w:rPr>
          <w:b/>
        </w:rPr>
        <w:t>E. 2.1</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132 II 117 E. 2.2.2; 123 III 10 E. 4c/bb S. 15, 306 E. 9b S. 315). Für einen Anspruch auf Genugtuung gelten dieselben Voraussetzungen wie die für den Schadenersatzanspruch nach Art. 41 OR , mit Ausnahme des Schadens, an dessen Stelle die immaterielle Unbill geprüft wird (HEINZ REY, Ausservertragliches Haftpflichtrecht, 4. Aufl. 2008, Rz. 454). Wer Genugtuung aus Art. 47 OR beansprucht, hat die immaterielle Unbill, die widerrechtliche Handlung, den Kausalzusammenhang sowie das Verschulden zu beweisen (Max Berger, in: Haftung und Versicherung, 2. Aufl. 2015, Rz. 11.13).</w:t>
      </w:r>
    </w:p>
    <w:p>
      <w:r>
        <w:t>Verschulden setzt voraus, dass der Schädiger die mögliche Verursachung einer Schädigung eines Dritten durch sein Verhalten erkennt oder erkennen kann. Die Berücksichtigung der möglichen Schädigung eines Dritten stellt die Erfüllung der Sorgfaltspflicht dar, die dem Fahrlässigkeitsbegriff zugrundeliegt (Karl Oftinger/Emil Stark, Schweizerisches Haftpflichtrecht, Erster Band: Allgemeiner Teil, 1995, § 5 Rz. 50). Sorgfaltswidrig verhält sich insbesondere, wer einen gefährlichen Zustand schafft oder unterhält, ohne die zur Vermeidung eines Schadens erforderlichen Schutzmassnahmen zu ergreifen (zum Gefahrensatz siehe BGE 126 III 113 E. 2a; 124 III 297 E. 5b S. 300). Die Sorgfaltswidrigkeit ergibt sich aus dem Vergleich des tatsächlichen Verhaltens des Schädigers mit dem hypothetischen Verhalten eines durchschnittlich sorgfältigen Menschen in der Situation des Schädigers ( BGE 137 III 539 E. 5.2 S. 544 mit Hinweisen). Jede negative Abweichung von diesem geforderten Durchschnittsverhalten gilt als sorgfaltswidrig und damit als fahrlässig ( BGE 116 Ia 162 E. 2c S. 169 f.; 112 II 172 E. I. 2c S. 180; Urteil 4A_22/2008 vom 10. April 2008 E. 4; dazu auch HEINZ REY, a.a.O., Rz. 844 und 852 mit zahlreichen Hinweisen). Allerdings ist dieser objektivierte Sorgfaltsmassstab nicht starr für alle Schädiger gleich zu handhaben (Urteil 4A_22/2008 vom 10. April 2008 E. 4). Subjektive Umstände werden insofern in die Betrachtung einbezogen, als das Alter des Schädigers, sein Beruf, seine Erfahrung oder unter Umständen auch sein Geschlecht zu berücksichtigen sind (REY, a.a.O, Rz. 847). Die Anforderungen an die Sorgfaltspflicht richten sich im Übrigen nach der Art, Wichtigkeit und Gefährlichkeit einer Tätigkeit (REY, a.a.O, Rz. 849).</w:t>
      </w:r>
    </w:p>
    <w:p>
      <w:r>
        <w:rPr>
          <w:b/>
        </w:rPr>
        <w:t>E. 2.2</w:t>
      </w:r>
    </w:p>
    <w:p>
      <w:r>
        <w:t>Die Vorinstanz hat sich auf die Erwägungen der ersten Instanz bezogen, wonach das Aufstellen des Drehschrankbetts durch den Beschwerdegegner die widerrechtliche sowie natürlich und adäquat kausale Ursache für den Unfall bzw. die immaterielle Unbill der Beschwerdeführerin sei. Sie lehnte wie die Erstinstanz einen Genugtuungsanspruch mit der Begründung ab, es liege kein Verschulden seitens des Beschwerdegegners vor. Zum Unfallhergang stellte die Vorinstanz fest, dass sich der Beschwerdegegner als Gast eines Freundes im Ferienhaus aufgehalten habe. Die Schlafmöglichkeit in den Drehschrankbetten sei ihm zur Verfügung gestellt worden. Es habe zu diesem Zeitpunkt für ihn kein Anhaltspunkt bestanden, dass die Betten nicht ordnungsgemäss fixiert seien. Der Beschwerdegegner und sein Freund hätten die Stabilität getestet, indem sie am Bett rüttelten, worauf sie die Konstruktion für sicher hielten. Dieser Befund sei von den EMPA-Gutachtern insofern bestätigt worden, als diese festhielten, dass es sehr grosser dynamischer Kräfte in Höhe der Liegefläche bedürfe, um bei senkrecht stehendem Bettfuss den Bettkasten zum Kippen zu bringen. Vor diesem Hintergrund schloss die Vorinstanz mit der Erstinstanz, dass für den Beschwerdegegner die Sicherheitsmängel ohne fachspezifisches Wissen nicht erkennbar waren. Dies gelte umso mehr, als erst das Zusammenwirken der Mängel (fehlende Verschraubung des Bettkastens und instabiler Bettfuss) zum Unfall geführt habe.</w:t>
      </w:r>
    </w:p>
    <w:p>
      <w:r>
        <w:t>Angesichts der konkreten Verhältnisse wich die Vorinstanz von der gutachterlichen Feststellung ab, wonach ein fachmännischer Benutzer hätte erkennen müssen, dass die Drehschrankbetten vor dem Gebrauch an der Rückwand angeschraubt werden mussten, und stellte auf das hypothetische Verhalten eines durchschnittlich sorgfältigen Menschen ab. Sie begründet dieses Abweichen damit, dass beim Aufklappen eines Schrankbetts als Gast in einer fremden Behausung von einer geringen Anforderung an die Sorgfaltspflicht auszugehen sei.</w:t>
      </w:r>
    </w:p>
    <w:p>
      <w:r>
        <w:rPr>
          <w:b/>
        </w:rPr>
        <w:t>E. 2.3</w:t>
      </w:r>
    </w:p>
    <w:p>
      <w:r>
        <w:t>Der Beschwerdeführerin kann nicht gefolgt werden, wenn sie behauptet, die Vorinstanz habe die subjektiven Umstände nicht in Betracht gezogen und ein wesentliches Kriterium im Rahmen des objektiven Verschuldensmassstabs verkannt. Die Vorinstanz hat dem Beschwerdegegner als Zimmermann besondere Fachkenntnisse bei der Erstellung von Holzbauwerken und im Zusammenhang mit der Verarbeitung von Holz attestiert. Soweit sie das unbestrittene Fachwissen zur Beurteilung des Sorgfaltspflichtmassstabs heranzieht, ist nicht ersichtlich, inwiefern die Vorinstanz den Verhandlungsgrundsatz verletzt haben soll. Der Beschwerdegegner verfügte aber nicht über ein fachspezifisches Wissen bezüglich der Sicherheit von Drehschrankbetten und entgegen dem Vorbringen der Beschwerdeführerin kann gestützt auf die vorinstanzlichen Sachverhaltsfeststellungen auch nicht von einer persönlichen Erfahrung des Beschwerdegegners mit solchen Klappbetten ausgegangen werden, welche zu einem höheren Sorgfaltspflichtmassstab führen könnte. Zudem kann nicht auf die gutachterliche Feststellung abgestellt werden, wonach ein fachmännischer Benutzer die Notwendigkeit des Festschraubens der Drehschrankbetten an der Rückwand hätte erkennen müssen. Der Begriff "fachmännischer Benutzer" wurde im Gutachten ungenügend bestimmt, weshalb die Vorinstanz erwog, dass damit eine Person gemeint sei, die das Bett übernimmt, zusammenbaut, aufstellt und dann darin schläft. Der Beschwerdegegner entsprach dieser Umschreibung des fachmännischen Benutzers nicht, da er beim Transport und Aufbau der Betten nicht anwesend war. Er wurde auch nicht als Fachmann beauftragt, das Bett zu montieren, sondern ihm wurde als Gast die Schlafmöglichkeit in den Klappbetten von einem Freund zur Verfügung gestellt. Demzufolge ist die Vorinstanz zu Recht nicht vom Sorgfaltsmassstab eines fachmännischen Benutzers, sondern eines durchschnittlich sorgfältigen Menschen ausgegangen. Tatsächlich wusste der Beschwerdegegner nach der Feststellung im angefochtenen Entscheid nicht um die fehlende Fixierung. Er musste als Gast den Mangel auch nicht erkennen.</w:t>
      </w:r>
    </w:p>
    <w:p>
      <w:r>
        <w:t>Schliesslich lässt sich aus dem Entschluss des Beschwerdegegners, im Hobbyraum anstatt auf der Heu-Bühne zu übernachten, keine Sorgfaltspflichtverletzung ableiten. Die Beschwerdeführerin lässt ausser Acht, dass nach den vorinstanzlichen Feststellungen die Übernachtungsvorschläge aufgrund praktischer Überlegungen und nicht wegen Sicherheitsbedenken erfolgten. Die Gefahr war für den Beschwerdegegner nicht erkennbar; folglich kann ihm ein Verschulden weder für sein Handeln noch für sein Unterlassen - gestützt auf den Gefahrensatz - angelastet werden.</w:t>
      </w:r>
    </w:p>
    <w:p>
      <w:r>
        <w:rPr>
          <w:b/>
        </w:rPr>
        <w:t>E. 3</w:t>
      </w:r>
    </w:p>
    <w:p>
      <w:r>
        <w:t>Die Beschwerde ist demnach abzuweisen, soweit darauf einzutreten ist. Dem Ausgang des Verfahrens entsprechend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