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4A_689/2015 vom 16. Juni 2016</w:t>
      </w:r>
    </w:p>
    <w:p>
      <w:r>
        <w:t>Bundesgericht, 2016-06-16, FR</w:t>
      </w:r>
    </w:p>
    <w:p>
      <w:r>
        <w:rPr>
          <w:b/>
        </w:rPr>
        <w:t xml:space="preserve">Quelle: </w:t>
      </w:r>
      <w:r>
        <w:t>https://mcp.opencaselaw.ch/entscheid/bger_4A_689_2015</w:t>
      </w:r>
    </w:p>
    <w:p>
      <w:r>
        <w:t>FR: TF 4A_689/2015 du 16 juin 2016</w:t>
      </w:r>
    </w:p>
    <w:p>
      <w:r>
        <w:t>IT: TF 4A_689/2015 del 16 giugno 2016</w:t>
      </w:r>
    </w:p>
    <w:p>
      <w:pPr>
        <w:pStyle w:val="Heading2"/>
      </w:pPr>
      <w:r>
        <w:t>Erwägungen</w:t>
      </w:r>
    </w:p>
    <w:p>
      <w:r>
        <w:rPr>
          <w:b/>
        </w:rPr>
        <w:t>E. 1</w:t>
      </w:r>
    </w:p>
    <w:p>
      <w:r>
        <w:t>Les conditions de recevabilité du recours en matière civile sont réalisées sur le principe, notamment celles afférentes au délai ( art. 100 al. 1 LTF en lien avec l' art. 45 al. 1 LTF ) et à la valeur litigieuse minimale de 30'000 fr. ( art. 74 al. 1 let. b LTF ).</w:t>
      </w:r>
    </w:p>
    <w:p>
      <w:r>
        <w:t>Les héritiers des défuntes D5.________ et D6.________ leur succèdent de plein droit dans la procédure à laquelle ils étaient au demeurant déjà parties ( art. 17 al. 3 PCF par renvoi de l' art. 71 LTF ). Le</w:t>
      </w:r>
    </w:p>
    <w:p>
      <w:r>
        <w:t>rubrum du présent arrêt tient compte de ces modifications.</w:t>
      </w:r>
    </w:p>
    <w:p>
      <w:r>
        <w:rPr>
          <w:b/>
        </w:rPr>
        <w:t>E. 2.1</w:t>
      </w:r>
    </w:p>
    <w:p>
      <w:r>
        <w:t>Les demandeurs dénoncent un "établissement inexact des faits" à deux égards. D'une part, les juges cantonaux auraient résumé imparfaitement leur procédé provisionnel du 11 septembre 2007 en retenant qu'il faisait état d'un dommage supérieur à 43'000 fr. pour l'assainissement du mur; en réalité, les demandeurs avaient à l'époque renoncé à chiffrer leur dommage, qui était loin d'être connu ou même estimable. D'autre part, les juges auraient omis de préciser que pour l'expert E.________, le principal poste du dommage, soit la réfection du mur, n'était pas suffisamment connu, notamment en raison de la nécessité de poser une isolation thermique.</w:t>
      </w:r>
    </w:p>
    <w:p>
      <w:r>
        <w:rPr>
          <w:b/>
        </w:rPr>
        <w:t>E. 2.2</w:t>
      </w:r>
    </w:p>
    <w:p>
      <w:r>
        <w:t>Le Tribunal fédéral statue sur la base des faits établis par l'autorité précédente ( art. 105 al. 1 LTF ); il tient compte des faits figurant dans le jugement de première instance dans la mesure où ils ont été repris au moins implicitement par l'arrêt attaqué (arrêt 4A_182/2014 du 16 juillet 2014 consid. 1.2; sous l'OJ, ATF 129 IV 246 consid. 1). Conformément à ce principe, les faits résumés ci-dessus intègrent aussi des éléments figurant dans le jugement du Tribunal d'arrondissement (ayant trait principalement au résumé de l'expertise).</w:t>
      </w:r>
    </w:p>
    <w:p>
      <w:r>
        <w:t>Cela étant, l'autorité de céans peut rectifier ou compléter les faits retenus dans l'arrêt attaqué s'ils ont été établis en violation du droit au sens de l' art. 95 LTF ou de façon manifestement inexacte, c'est-à-dire arbitraire. Il incombe en principe au recourant de dénoncer ces vices, l'autorité de céans pouvant toutefois intervenir d'office (cf. art. 97 al. 1 et art. 105 al. 2 LTF ; ATF 133 IV 286 consid. 6.2). La correction du vice doit être susceptible d'influer sur le sort de la cause (art. 97 al. 1 in fine LTF). Le grief d'arbitraire dans l'établissement des faits doit satisfaire aux exigences de motivation plus strictes posées par l' art. 106 al. 2 LTF ; le recourant doit invoquer expressément ce droit constitutionnel ( art. 9 Cst. ) et exposer de manière claire et circonstanciée, si possible documentée, en quoi consiste la violation ( ATF 140 III 264 consid. 2.3 p. 266; 133 II 249 consid. 1.4.3).</w:t>
      </w:r>
    </w:p>
    <w:p>
      <w:r>
        <w:rPr>
          <w:b/>
        </w:rPr>
        <w:t>E. 2.3</w:t>
      </w:r>
    </w:p>
    <w:p>
      <w:r>
        <w:t>La recevabilité du grief prête à discussion au regard des règles de motivation rappelées ci-dessus. Quoi qu'il en soit, les précisions que les demandeurs souhaiteraient apporter sont de toute façon sans pertinence pour l'issue de la cause dans la mesure où elles ne permettraient pas de retenir leur thèse d'un dommage évolutif. Dans la perspective de cette démonstration (consid. 3.2 infra), l'on précisera ici que dans leur requête provisionnelle du 11 septembre 2007, les demandeurs ont insisté sur la nécessité d'effectuer de suite les travaux requis (taille de la haie au ras du sol et pose d'une bâche étanche sur le mur) en ajoutant le commentaire suivant: "Il en va de la prévention d'un dommage beaucoup plus important comme de la poursuite de l'exploitation de notre commerce".</w:t>
      </w:r>
    </w:p>
    <w:p>
      <w:r>
        <w:t>L'on mentionnera encore que l'expert, interpellé sur le devis chiffrant à 35'525 fr. le coût d'assainissement du mur, a notamment fait la remarque suivante:</w:t>
      </w:r>
    </w:p>
    <w:p>
      <w:r>
        <w:t>(...) il n'est pas fait allusion à l'isolation thermique qu'il est nécessaire de poser également afin d'éviter la création de ponts de froid (...).</w:t>
      </w:r>
    </w:p>
    <w:p>
      <w:r>
        <w:t>(...)</w:t>
      </w:r>
    </w:p>
    <w:p>
      <w:r>
        <w:t>Même si le montant du devis devait faire l'objet d'un affinage en fonction de la réalisation d'une isolation thermique (non comprise dans le devis), le montant estimatif général pour une exécution offrant le maximum de garantie pourrait bien atteindre le montant d'environ frs 45'000.-. Un appel d'offre est nécessaire (...). "</w:t>
      </w:r>
    </w:p>
    <w:p>
      <w:r>
        <w:rPr>
          <w:b/>
        </w:rPr>
        <w:t>E. 3.1</w:t>
      </w:r>
    </w:p>
    <w:p>
      <w:r>
        <w:t>En droit, les demandeurs dénoncent une violation de l' art. 60 al. 1 CO .</w:t>
      </w:r>
    </w:p>
    <w:p>
      <w:r>
        <w:t>Cette disposition - dont l'applicabilité à l'action intentée par les demandeurs n'est pas contestée - énonce que l'action en dommages-intérêts se prescrit par un an à compter du jour où la partie lésée a eu connaissance du dommage ainsi que de la personne qui en est l'auteur, et, dans tous les cas, par dix ans dès le jour où le fait dommageable s'est produit.</w:t>
      </w:r>
    </w:p>
    <w:p>
      <w:r>
        <w:t>Selon la jurisprudence, le créancier connaît suffisamment le dommage lorsqu'il apprend, concernant son existence, sa nature et ses éléments, les circonstances propres à fonder et à motiver une demande en justice ( ATF 131 III 61 consid. 3.1.1). Eu égard à la brièveté du délai de prescription, on ne saurait se montrer trop exigeant à l'égard du lésé; suivant les circonstances, un certain temps doit lui être laissé pour lui permettre d'estimer l'étendue définitive du dommage, seul ou avec le concours d'un tiers ( ATF 111 II 55 consid. 3a p. 57). Si le législateur cherchait à éviter, pour la sécurité du droit, que le lésé ne tarde à agir, il n'a pu vouloir l'obliger à intenter action avant de connaître les éléments essentiels de son préjudice, ce qui le contraindrait à réclamer d'emblée le maximum de ce à quoi il pourrait avoir droit, ou à amplifier ses conclusions au fur et à mesure que les suites du fait dommageable se déclarent; or, de tels procédés présentent de graves inconvénients sous l'angle de l'administration de la justice ( ATF 74 II 30 consid. 1a p. 34 s.).</w:t>
      </w:r>
    </w:p>
    <w:p>
      <w:r>
        <w:t>Le dommage n'est réputé réalisé qu'au moment où il s'est manifesté complètement.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En particulier, la connaissance du dommage résultant d'une invalidité permanente suppose que l'état de santé soit stabilisé sur le plan médical et que le taux de l'incapacité de travail soit fixé au moins approximativement; le lésé doit en outre savoir, sur la base des rapports médicaux, quelle peut être l'évolution de son état (arrêt 4A_136/2012 du 18 juillet 2012 consid. 4.2; 112 II 118 consid. 4 p. 123; 92 II 1 consid. 3 p. 4). La jurisprudence vise essentiellement des cas de préjudice consécutif à une atteinte à la santé de la victime, mais elle peut inclure d'autres situations où un acte illicite exerce sur le patrimoine un effet médiat dans une mesure qu'il n'est pas possible de prévoir avec assez de sécurité ( ATF 108 Ib 97 consid. 1c p. 100).</w:t>
      </w:r>
    </w:p>
    <w:p>
      <w:r>
        <w:rPr>
          <w:b/>
        </w:rPr>
        <w:t>E. 3.2</w:t>
      </w:r>
    </w:p>
    <w:p>
      <w:r>
        <w:t>En l'occurrence, les demandeurs ont subi le 7 mai 2010 une infiltration d'eau dans leur laboratoire. Selon l'expert, cette infiltration est partiellement imputable aux racines de laurelles plantées sur le fonds des défendeurs, racines qui ont perforé le mur mitoyen et une canalisation. Les demandeurs exigent que les défendeurs assument le coût de remplacement du mobilier prétendument endommagé par l'eau (11'812 fr. selon devis du 21 mai 2010), le coût de travaux sur des installations sanitaires du laboratoire (1'835 fr. 10 selon devis du 11 octobre 2010), et le coût de réfection du mur mitoyen (35'525 fr. 05 selon devis du 18 octobre 2010). Ils n'ont agi en justice que le 29 novembre 2011, chiffrant leur dommage sur la base de ces trois devis.</w:t>
      </w:r>
    </w:p>
    <w:p>
      <w:r>
        <w:t>Pour justifier l'intervalle supérieur à un an entre le dernier devis et le dépôt de la requête de conciliation, les demandeurs font valoir que les racines des plantations poussent constamment et créent une situation évolutive propre à repousser le point de départ de la prescription.</w:t>
      </w:r>
    </w:p>
    <w:p>
      <w:r>
        <w:t>Les dégâts que l'infiltration d'eau a pu causer sur le mobilier, les installations sanitaires ou autres équipements situés dans le laboratoire des défendeurs sont en principe constatables rapidement, sans qu'on ne discerne une situation évolutive. Se pose la question du risque de nouvelles infiltrations. La cour cantonale relève que les racines ont continué de pousser, mais n'ont plus causé de nouvelles infiltrations ni été le motif de nouvelles dégradations depuis le printemps 2010. On ne saurait toutefois ignorer le risque évoqué par l'expert, qui fait état de possibles nouvelles infiltrations en raison de la perméabilité du mur, en maçonnerie brute. Après avoir affirmé dans un premier temps que les racines de laurelles avaient pu être enlevées et ne représentaient plus un motif de dégradation du mur, l'expert a effectué deux nouveaux constats locaux et nuancé ses propos en ce sens que des racines continuent de pousser dans le terrain et représentent un risque de perforation pour ce genre de mur, mal protégé contre les perforations de racines (jgt 1</w:t>
      </w:r>
    </w:p>
    <w:p>
      <w:r>
        <w:t>re instance p. 7 et complément d'expertise ch. 1 ad all. 6 et 10 et ch. 2 ad all. 10). Il semble qu'il existe ainsi un risque de nouvelles infiltrations partiellement imputables aux racines des plantations venant du fonds voisin. Quoi qu'il en soit, ce type de risque ne justifie pas de repousser indéfiniment le départ du délai de prescription. Les décisions cantonales n'évoquent qu'un seul précédent d'infiltration d'eau ayant donné lieu à la requête du 7 décembre 2004, dont il ressortait que l'épisode remontait à janvier 2003. Dans ce contexte, les demandeurs ne pouvaient se fonder sur ce précédent et sur le risque aléatoire d'une nouvelle infiltration d'eau pour repousser leur demande en réparation du dommage. La réserve émise dans leur procédé provisionnel de 2007 en prévision d'un dommage beaucoup plus important (consid. 2.3 supra) ne leur est d'aucun secours. Au passage, on ne peut s'empêcher de discerner une certaine contradiction à reporter le dépôt d'une action en raison d'un prétendu dommage évolutif, alors que le principal poste du dommage dont les demandeurs exigent réparation est l'assainissement du mur susceptible de causer de nouveaux dommages.</w:t>
      </w:r>
    </w:p>
    <w:p>
      <w:r>
        <w:t>Les demandeurs croient pouvoir justifier leur retard en arguant du fait que la Présidente du Tribunal d'arrondissement elle-même a jugé nécessaire d'établir par expertise la cause de l'infiltration d'eau survenue en mai 2010 avant de pouvoir statuer sur l'exception de prescription. En réalité, la cause de l'infiltration ne faisait aucun doute pour les demandeurs; ils ont ainsi allégué qu'elle était due à des racines ayant régulièrement perforé le mur mitoyen, dénonçant le fait que les travaux d'assainissement du mur n'avaient jamais pu être effectués (all. 6-8 de la demande). C'est du reste sur la base d'échantillons de tuyaux et de racines conservés par le demandeur que l'expert a retenu que des racines avaient perforé une canalisation le 7 mai 2010 (jgt 1</w:t>
      </w:r>
    </w:p>
    <w:p>
      <w:r>
        <w:t>re instance p. 7); les demandeurs ne peuvent dès lors prétendre avoir été dans l'incertitude. Rien n'indique au demeurant qu'ils aient recueilli ou cherché à recueillir des renseignements spécialisés avant d'ouvrir action le 29 novembre 2011.</w:t>
      </w:r>
    </w:p>
    <w:p>
      <w:r>
        <w:t>Enfin, contrairement à ce que plaident les demandeurs, l'expert E.________ n'a pas affirmé que le dommage concernant le mur mitoyen ne pouvait pas encore être déterminé; tout au plus a-t-il recommandé une mesure supplémentaire (isolation thermique) non prévue par le devis, en précisant que celui-ci devrait faire l'objet d'un "affinage". Il n'y a pas, là non plus, matière à reporter le point de départ de la prescription.</w:t>
      </w:r>
    </w:p>
    <w:p>
      <w:r>
        <w:t>La demande en paiement du 29 novembre 2011 est fondée sur trois devis dont le plus récent date du 18 octobre 2010. Les deux décisions cantonales ne retiennent aucune activité entre cette date et le dépôt de la demande. Dans un tel contexte, force est de constater que le délai de prescription annuel était manifestement échu lorsque l'action a été intentée. La cour cantonale n'a pas enfreint l' art. 60 al. 1 CO en admettant l'exception de prescription.</w:t>
      </w:r>
    </w:p>
    <w:p>
      <w:r>
        <w:rPr>
          <w:b/>
        </w:rPr>
        <w:t>E. 4</w:t>
      </w:r>
    </w:p>
    <w:p>
      <w:r>
        <w:t>En définitive, le recours doit être rejeté dans la mesure où il est recevable. En conséquence, les demandeurs et recourants supporteront solidairement les frais de la présente procédure ainsi que l'indemnité due aux défendeurs et intimés pour leurs frais d'avocat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