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687/2011 vom 19. Januar 2012</w:t>
      </w:r>
    </w:p>
    <w:p>
      <w:r>
        <w:t>Bundesgericht, 2012-01-19, FR</w:t>
      </w:r>
    </w:p>
    <w:p>
      <w:r>
        <w:rPr>
          <w:b/>
        </w:rPr>
        <w:t xml:space="preserve">Quelle: </w:t>
      </w:r>
      <w:r>
        <w:t>https://mcp.opencaselaw.ch/entscheid/bger_4A_687_2011</w:t>
      </w:r>
    </w:p>
    <w:p>
      <w:r>
        <w:t>FR: TF 4A 687/2011 du 19 janvier 2012</w:t>
      </w:r>
    </w:p>
    <w:p>
      <w:r>
        <w:t>IT: TF 4A 687/2011 del 19 gennaio 2012</w:t>
      </w:r>
    </w:p>
    <w:p>
      <w:pPr>
        <w:pStyle w:val="Heading2"/>
      </w:pPr>
      <w:r>
        <w:t>Regeste</w:t>
      </w:r>
    </w:p>
    <w:p>
      <w:r>
        <w:t>bail à loyer; sous-location irrégulière; résiliation | Droit des contrats</w:t>
      </w:r>
    </w:p>
    <w:p>
      <w:pPr>
        <w:pStyle w:val="Heading2"/>
      </w:pPr>
      <w:r>
        <w:t>Erwägungen</w:t>
      </w:r>
    </w:p>
    <w:p>
      <w:r>
        <w:rPr>
          <w:b/>
        </w:rPr>
        <w:t>E. 1</w:t>
      </w:r>
    </w:p>
    <w:p>
      <w:r>
        <w:t>L' art. 273 al. 1 et 2 CO confère un droit d'action ayant pour objet de faire annuler une résiliation de bail (Peter Higi, in Commentaire zurichois, 1996, n° 11 ad art. 273 CO ) ou de faire prolonger le bail par le juge. La décision du Tribunal cantonal est un jugement final concernant cette action ( art. 90 LTF ), rendu en dernière instance cantonale ( art. 75 al. 1 LTF ).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137 III 389 consid. 1.1 p. 390; 111 II 384 consid. 1 p. 386). En l'espèce, compte tenu d'un loyer annuel supérieur à 100'000 fr., la valeur litigieuse minimum de 15'000 fr. ( art. 74 al. 1 let. a LTF ) est atteinte. La partie recourante a pris part à l'instance précédente et succombé dans ses conclusions ( art. 76 al. 1 LTF ). Le mémoire de recours a été introduit en temps utile ( art. 100 al. 1 LTF ) et il satisfait aux exigences légales (art. 42 al. 1 à 3 LTF).</w:t>
      </w:r>
    </w:p>
    <w:p>
      <w:r>
        <w:rPr>
          <w:b/>
        </w:rPr>
        <w:t>E. 2</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Dans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137 I 58 consid. 4.1.2 p. 62; 136 III 552 consid. 4.2 p. 560; 129 I 8 consid. 2.1).</w:t>
      </w:r>
    </w:p>
    <w:p>
      <w:r>
        <w:rPr>
          <w:b/>
        </w:rPr>
        <w:t>E. 3</w:t>
      </w:r>
    </w:p>
    <w:p>
      <w:r>
        <w:t>Il est constant que dès le transfert de la propriété de l'immeuble n° xxx, par l'effet de l' art. 261 al. 1 CO , la défenderesse a succédé aux époux A.________ dans le contrat de bail à loyer que ceux-ci avaient conclu avec la demanderesse. La contestation porte essentiellement sur le droit de cette partie de sous-louer le bâtiment loué. Aux termes de l' art. 262 al. 1 CO , le locataire peut sous-louer tout ou partie de la chose avec le consentement du bailleur; l' art. 262 al. 2 CO énumère les hypothèses dans lesquelles ce dernier est autorisé à refuser son consentement. Ces règles appartiennent au droit dispositif en ce sens que les parties peuvent valablement convenir que la sous-location sera permise au locataire de manière générale et sans restriction (Peter Burkhalter et al., Le droit suisse du bail à loyer, 2011, n° 2 ad art. 262 CO ; David Lachat, Le bail à loyer, 2008, n° 2.6.1 p. 582). La demanderesse soutient que les époux A.________ lui ont précisément concédé ce droit de sous-location illimité. Les parties peuvent aussi convenir valablement que le locataire devra requérir un consentement écrit du bailleur (Burkhalter et al., Lachat, ibid.); c'est ce qui est prévu à l'art. 12 de la formule imprimée que les cocontractants ont utilisée le 13 juillet 2006.</w:t>
      </w:r>
    </w:p>
    <w:p>
      <w:r>
        <w:rPr>
          <w:b/>
        </w:rPr>
        <w:t>E. 4</w:t>
      </w:r>
    </w:p>
    <w:p>
      <w:r>
        <w:t>Confronté à un litige sur la portée d'une convention,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qui ne peut être contestée, en instance fédérale, que dans la mesure restreinte permise par l' art. 97 al. 1 LTF . Déterminer ce que les parties savent ou veulent au moment de conclure relève en effet de la constatation des faits.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L'application du principe de la confiance est une question de droit que le Tribunal fédéral examine librement. Pour résoudre cette question de droit, il doit cependant se fonder sur le contenu de la manifestation de volonté concernée et sur les circonstances dans lesquelles elle est intervenue, points qui relèvent du fait ( ATF 135 III 410 consid. 3.2 p. 412; 133 III 675 consid. 3.3 p. 681; 131 III 606 consid. 4.1 p. 611). Même s'il est apparemment clair, le sens d'un texte souscrit par les parties n'est pas forcément déterminant, de sorte que l'interprétation purement littérale est prohibée ( art. 18 al. 1 CO ). Lorsque la teneur d'une clause contractuelle paraît limpide à première vue, il peut résulter d'autres conditions du contrat, du but poursuivi par les parties ou d'autres circonstances que le texte de cette clause ne restitue pas exactement le sens de l'accord conclu. Il n'y a cependant pas lieu de s'écarter du sens littéral du texte adopté par les intéressés lorsqu'il n'y a aucune raison sérieuse de penser que celui-ci ne corresponde pas à leur volonté ( ATF 135 III 295 consid. 5.2 in fine p. 302; 131 III 606 consid. 4.2 p. 611; 130 III 417 consid. 3.2).</w:t>
      </w:r>
    </w:p>
    <w:p>
      <w:r>
        <w:rPr>
          <w:b/>
        </w:rPr>
        <w:t>E. 5</w:t>
      </w:r>
    </w:p>
    <w:p>
      <w:r>
        <w:t>Selon les termes de sa décision, le Tribunal cantonal constate en fait la réelle et commune intention des cocontractants, le 13 juillet 2006, en ce sens que celle-ci correspond à l'art. 12 de la formule imprimée. Le tribunal relève que les cocontractants ont biffé et remplacé certaines clauses de cette formule, et que, au contraire, ils ont laissé l'art. 12 subsister sans changement; cela révèle, selon son raisonnement, qu'ils voulaient effectivement régler leur relation juridique conformément à ce texte. Le tribunal opère ainsi une déduction sur la base d'un indice, et cette déduction relève de l'appréciation des preuves ( ATF 117 II 256 consid. 2b p. 258; 136 III 486 consid. 5 p. 489; 128 III 390 consid. 4.3.3 in fine p. 398). La demanderesse se plaint d'arbitraire et elle invoque d'autres indices qui, à son avis, imposent une constatation différente au sujet de la volonté commune des cocontractants. Elle se réfère d'abord au témoignage de l'avocat M.________ à qui elle avait donné procuration; celui-ci a rédigé, semble-t-il, les conventions du 13 juillet 2006, et il les a signées au nom de la locataire. Me M.________ a déclaré en justice que « dans l'esprit des parties, X.________ Ltd allait devenir propriétaire et ... savoir ce qu'elle allait faire avec le bâtiment importait peu aux époux A.________ »; il a également déclaré que « pour H.A.________, une fois que X.________ Ltd était devenue locataire, celle-ci pouvait faire ce qu'elle voulait ». La demanderesse se réfère aussi aux déclarations de son propre administrateur, celui-ci ayant exposé que H.A.________ « ne voulait plus participer à la gestion de l'immeuble » et que « pour tous les aspects pratiques, [les époux] avaient cessé d'être les propriétaires ». Me M.________ a toutefois aussi déclaré qu'il ne gardait pas le souvenir de pourparlers concernant une éventuelle sous-location. Ni ce témoin ni l'administrateur n'ont donc affirmé que les époux A.________ voulussent autoriser la sous-location d'avance et sans restriction. Selon les constatations du Tribunal cantonal, les époux A.________ ont appris que le café-restaurant était sous-loué et ils n'ont élevé aucune protestation. Le tribunal se réfère au témoignage de la sous-locataire selon lequel cette dernière a demandé et obtenu à fin mai 2007 que la propriétaire contresignât une demande d'autorisation de modifier l'enseigne. Cette attitude favorable des bailleurs, dont la demanderesse fait état, ne dénote pas avec certitude que près de dix mois auparavant, lors de la conclusion du bail à loyer, ils fussent disposés à autoriser par avance la sous-location, pour la totalité des locaux loués et sans égard aux conditions pratiquées par la locataire. En tant que les cocontractants avaient au contraire convenu que la sous-location serait - le cas échéant - autorisée par écrit, la défenderesse ne peut pas se prévaloir d'une autorisation tacite et postérieure à la conclusion du contrat. Il est par ailleurs sans importance que la demanderesse connût ou ignorât la nullité pour vice de forme de la promesse de vente conclue le même jour. La demanderesse soutient à tort que les époux A.________ n'avaient aucun intérêt à conserver le contrôle des sous-locations. Dans l'éventualité où celles-ci apportaient un revenu très supérieur au loyer principal, les bailleurs pouvaient tenter de monnayer leur accord ou d'obtenir une hausse de ce loyer; c'est ce que la nouvelle propriétaire a fait avant de signifier la résiliation présentement litigieuse. La demanderesse allègue encore qu'elle n'a aucun personnel, hormis son administrateur, et qu'elle n'exploite directement aucune espèce d'entreprise; en conséquence, elle tient pour évident qu'elle ne pouvait pas user du bâtiment loué autrement qu'en en pratiquant la sous-location. Cette argumentation est vaine car le Tribunal cantonal n'a pas constaté de pareils faits, et il a moins encore constaté qu'ils fussent connus des époux A.________ lors de la conclusion du contrat. Dans son économie, celui-ci présente une certaine dissonance: la locataire s'est fait accorder la plus grande liberté de transformer le bâtiment loué, dans la perspective qu'elle en deviendrait propriétaire, mais pas d'en pratiquer la sous-location. Néanmoins, et en dépit des éléments invoqués par la demanderesse, on ne voit pas que le Tribunal cantonal ait commis une erreur indiscutable en constatant que la volonté des cocontractants correspondait au texte adopté par eux, et que selon cette volonté, la sous-location serait donc soumise à l'accord écrit du bailleur. Par suite, cette constatation échappe au grief d'arbitraire.</w:t>
      </w:r>
    </w:p>
    <w:p>
      <w:r>
        <w:rPr>
          <w:b/>
        </w:rPr>
        <w:t>E. 6</w:t>
      </w:r>
    </w:p>
    <w:p>
      <w:r>
        <w:t>Aux termes de l' art. 257f al. 1 et 3 CO , le locataire est tenu d'user de la chose louée avec le soin nécessaire (al. 1), et si le maintien du bail devient insupportable pour le bailleur parce que le locataire enfreint de manière persistante son devoir de diligence, nonobstant une protestation écrite, le bailleur peut, s'il s'agit d'un bail d'habitation ou de locaux commerciaux, résilier ce contrat en observant un délai de congé de trente jours pour la fin d'un mois (al. 3). Selon la jurisprudence, cette résiliation peut notamment intervenir lorsque le locataire sous-loue la chose sans l'accord du bailleur et que celui-ci est en droit de s'opposer à la sous-location pour l'un des motifs prévus à l' art. 262 al. 2 CO ; la condition légale selon laquelle le maintien du bail doit être devenu insupportable pour le bailleur n'a alors pas de portée indépendante ( ATF 134 III 300 consid. 3.1 p. 302; 134 III 446 consid. 2.2 p. 449). Le bailleur peut notamment s'opposer à la sous-location, selon l' art. 262 al. 2 let. b CO , lorsque les conditions du bail de sous-location sont abusives en comparaison avec celles du bail principal; la loi envisage ici un loyer de sous-location nettement supérieur au loyer principal, sans que la différence ne soit justifiée par des investissements ou des prestations supplémentaires du locataire ( ATF 119 II 353 consid. 6 p. 359). Dans les mois qui ont précédé la résiliation litigieuse, la demanderesse sous-louait l'ensemble du bâtiment édifié sur la parcelle n° xxx au prix de 350'000 fr. par année, soit plus de trois fois le loyer qu'elle acquittait elle-même. Il est établi qu'elle avait préalablement fait exécuter des travaux, à ses frais, mais elle n'a pas allégué ni prouvé une amélioration des locaux si considérable que le triplement du loyer pût se justifier. Contrairement à sa thèse, le bail principal ne l'autorisait pas à sous-louer aux conditions de son choix et sans le consentement du bailleur. La résiliation a été précédée de protestations écrites et elle respectait, par ailleurs, les exigences légales; elle se révèle donc conforme aux art. 257f al. 3 et 262 al. 2 let. b CO.</w:t>
      </w:r>
    </w:p>
    <w:p>
      <w:r>
        <w:rPr>
          <w:b/>
        </w:rPr>
        <w:t>E. 7</w:t>
      </w:r>
    </w:p>
    <w:p>
      <w:r>
        <w:t>Le recours appert privé de fondement, ce qui conduit à son rejet. A titre de partie qui succombe, la demanderesse doit acquitter l'émolument à percevoir par le Tribunal fédéral et les dépens auxquels l'adverse partie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