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4A_682/2024 vom 20. Mai 2025</w:t>
      </w:r>
    </w:p>
    <w:p>
      <w:r>
        <w:t>Bundesgericht, 2025-05-20, FR</w:t>
      </w:r>
    </w:p>
    <w:p>
      <w:r>
        <w:rPr>
          <w:b/>
        </w:rPr>
        <w:t xml:space="preserve">Quelle: </w:t>
      </w:r>
      <w:r>
        <w:t>https://mcp.opencaselaw.ch/entscheid/bger_4A_682_2024</w:t>
      </w:r>
    </w:p>
    <w:p>
      <w:r>
        <w:t>FR: TF 4A_682/2024 du 20 mai 2025</w:t>
      </w:r>
    </w:p>
    <w:p>
      <w:r>
        <w:t>IT: TF 4A_682/2024 del 20 maggio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qu'elles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rPr>
          <w:b/>
        </w:rPr>
        <w:t>E. 3</w:t>
      </w:r>
    </w:p>
    <w:p>
      <w:r>
        <w:t>Qu'il s'agisse de l'objet du recours, de la qualité pour recourir ou encore du délai de recours, aucune de ces conditions de recevabilité ne fait problème en l'espèce. Rien ne s'oppose donc à l'entrée en matière. Demeure toutefois réservé l'examen de la recevabilité de l'unique grief invoqué par le recourant et des critiques formulées au soutien de ce moyen.</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soutient que la sentence attaquée est incompatible avec l'ordre public matériel ( art. 190 al. 2 let . e LDIP), motif pris de ce qu'il n'a, selon lui, pas bénéficié d'un procès équitable au sens de l'art. 6 de la Convention européenne des droits de l'homme (CEDH; RS 0.101). À cet égard, il fait valoir que la Formation a violé le principe de la présomption d'innocence, d'une part, et prétend que la sentence attaquée serait contraire à la "sécurité juridique", d'autre part.</w:t>
      </w:r>
    </w:p>
    <w:p>
      <w:r>
        <w:rPr>
          <w:b/>
        </w:rPr>
        <w:t>E. 5.1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w:t>
      </w:r>
    </w:p>
    <w:p>
      <w:r>
        <w:rPr>
          <w:b/>
        </w:rPr>
        <w:t>E. 5.2</w:t>
      </w:r>
    </w:p>
    <w:p>
      <w:r>
        <w:t>Selon la jurisprudence constante du Tribunal fédéral, une partie ne peut pas se plaindre directement, dans le cadre d'un recours en matière civile au Tribunal fédéral formé contre une sentence arbitrale internationale, de ce que les arbitres auraient violé l' art. 6 par. 1 CEDH , même si les principes découlant de cette disposition peuvent servir, le cas échéant, à concrétiser les garanties invoquées sur la base de l' art. 190 al. 2 LDIP ( ATF 147 III 586 consid. 5.2.1; 146 III 358 consid. 4.1; 142 III 360 consid. 4.1.2; arrêt 4A_268/2019 du 17 octobre 2019 consid. 3.4.3).</w:t>
      </w:r>
    </w:p>
    <w:p>
      <w:r>
        <w:t>Eu égard aux exigences strictes de motivation applicables en matière d'arbitrage ( art. 77 al. 3 LTF ), il appartient ainsi à la partie recourante de démontrer en quoi la prétendue violation d'une garantie conventionnelle constitue une atteinte à l'ordre public visé par l' art. 190 al. 2 let . e LDIP ( ATF 147 III 586 consid. 5.2.1; 146 III 358 consid. 4.1).</w:t>
      </w:r>
    </w:p>
    <w:p>
      <w:r>
        <w:rPr>
          <w:b/>
        </w:rPr>
        <w:t>E. 5.3</w:t>
      </w:r>
    </w:p>
    <w:p>
      <w:r>
        <w:t>Se fondant en particulier sur les considérations émises par la Section III de la Cour européenne des droits de l'homme (ci-après: la CourEDH) dans son arrêt rendu le 11 juillet 2023 dans l'affaire</w:t>
      </w:r>
    </w:p>
    <w:p>
      <w:r>
        <w:t>Semenya contre la Suis se, le recourant soutient qu'il devrait pouvoir invoquer directement les garanties reconnues par la CEDH dans le cadre d'un recours dirigé contre une sentence internationale, sans qu'il existe la moindre limitation du pouvoir d'examen du Tribunal fédéral à cet égard. Ce faisant, il méconnaît le fait que l'arrêt en question n'est pas définitif, puisque l'affaire Semenyaest toujours pendante devant la Grande Chambre de la CourEDH. Cette circonstance a du reste conduit le Tribunal fédéral à confirmer récemment que la partie recourante ne peut pas invoquer directement les garanties de la CEDH dans un recours formé en matière d'arbitrage international (arrêt 4A_488/2023 du 23 janvier 2024 consid. 3). Il ne saurait en être autrement ici. Aussi est-ce en vain que l'intéressé prétend que la Cour de céans devrait en l'occurrence examiner avec une pleine cognition toute violation éventuelle des garanties conventionnelles.</w:t>
      </w:r>
    </w:p>
    <w:p>
      <w:r>
        <w:rPr>
          <w:b/>
        </w:rPr>
        <w:t>E. 5.4.1</w:t>
      </w:r>
    </w:p>
    <w:p>
      <w:r>
        <w:t>Dans la première branche du moyen examiné, le recourant soutient que la Formation aurait violé le principe de la présomption d'innocence en confirmant la sanction prononcée à son encontre car les arbitres ne pouvaient pas acquérir la certitude qu'il avait enfreint la réglementation antidopage. À cet égard, il insiste sur le fait que tous les contrôles antidopage qu'il a subis se sont révélés négatifs. Il souligne également que plusieurs experts ont indiqué, au cours de la procédure d'arbitrage, que les anomalies détectées dans son passeport biologique pouvaient s'expliquer par des variations génétiques. Selon le recourant, la Formation aurait considéré, à tort, que c'était à lui de prouver son innocence en établissant l'origine de telles anomalies. Elle aurait aussi dû appliquer le standard de l'intime conviction. Si elle l'avait fait, la Formation aurait dû retenir qu'il existait des doutes insurmontables quant à l'existence d'une infraction à la réglementation antidopage. Le recourant reproche en outre aux arbitres de n'avoir pas pris en considération tous les éléments de preuve censés démontrer que son profil génétique pouvait expliquer les taux d'hémoglobine élevés observés dans son passeport biologique. Il fait enfin valoir qu'il présente constamment, à l'instar de ses parents, un taux d'hémoglobine élevé et que les variations de celui-ci, identifiées dans son passeport biologique, sont naturelles.</w:t>
      </w:r>
    </w:p>
    <w:p>
      <w:r>
        <w:rPr>
          <w:b/>
        </w:rPr>
        <w:t>E. 5.4.2</w:t>
      </w:r>
    </w:p>
    <w:p>
      <w:r>
        <w:t>Tel qu'il est présenté, le grief examiné ne saurait prospérer.</w:t>
      </w:r>
    </w:p>
    <w:p>
      <w:r>
        <w:t>Dans plusieurs arrêts, le Tribunal fédéral a souligné que l'application automatique de notions telles que la présomption d'innocence et le principe</w:t>
      </w:r>
    </w:p>
    <w:p>
      <w:r>
        <w:t>in dubio pro reo , ainsi que des garanties correspondantes figurant dans la CEDH, ne va pas de soi en matière de sanctions disciplinaires prononcées par des associations de droit privé, telles les fédérations sportives (arrêts 4A_10/2022 du 17 mai 2022 consid. 5.4.2; 4A_644/2020 du 23 août 2021 consid. 6.3; 4A_462/2019 du 29 juillet 2020 consid. 7.1; 4A_178/2014 du 11 juin 2014 consid. 5.2 et les références citées). Si la mise en oeuvre du principe</w:t>
      </w:r>
    </w:p>
    <w:p>
      <w:r>
        <w:t>in dubio pro reo ne prête pas à discussion dans une procédure disciplinaire ou pénale ordinaire, en raison des pouvoirs d'investigation et de coercition étendus dont dispose l'État, l'application stricte du même principe dans le cas de procédures disciplinaires conduites par des organismes privés ne pouvant pas s'appuyer sur un tel rapport de puissance vis-à-vis des sportifs soupçonnés de pratiques interdites pourrait en effet empêcher le système mis en place pour lutter contre le fléau que constitue le dopage sportif de fonctionner correctement (arrêt 4A_488/2011 du 18 juin 2012 consid. 6.2). Dans un arrêt rendu le 6 février 2025 (cause 4A_474/2024), le Tribunal fédéral a considéré que la présomption d'innocence et le</w:t>
      </w:r>
    </w:p>
    <w:p>
      <w:r>
        <w:t>principe in dubio pro reo , tels qu'ils sont garantis par la CEDH, ne sont pas applicables dans les procédures disciplinaires des organisations de droit privé telles que les fédérations sportives (consid. 6).</w:t>
      </w:r>
    </w:p>
    <w:p>
      <w:r>
        <w:t>Au vu de ce qui précède, le recourant s'emploie, en pure perte, à démontrer que la Formation aurait enfreint l' art. 6 par. 2 CEDH . Les éléments avancés par le recourant dans ses écritures ne commandent pas davantage de s'écarter de la jurisprudence bien établie du Tribunal fédéral selon laquelle la présomption d'innocence et le principe</w:t>
      </w:r>
    </w:p>
    <w:p>
      <w:r>
        <w:t>in dubio pro reo , tels qu'ils sont garantis par la CEDH, ne sont pas applicables dans les procédures disciplinaires sportives.</w:t>
      </w:r>
    </w:p>
    <w:p>
      <w:r>
        <w:t>En tout état de cause, la Cour de céans estime, à l'instar de l'intimée (cf. réponse, n. 35), que la lecture de la sentence entreprise permet de constater que la Formation, après avoir examiné minutieusement l'ensemble des preuves à sa disposition, ne nourrissait visiblement aucun doute raisonnable quant au fait que le recourant avait enfreint la réglementation antidopage.</w:t>
      </w:r>
    </w:p>
    <w:p>
      <w:r>
        <w:rPr>
          <w:b/>
        </w:rPr>
        <w:t>E. 5.5.1</w:t>
      </w:r>
    </w:p>
    <w:p>
      <w:r>
        <w:t>Dans la seconde branche du moyen considéré, le recourant prétend que la sentence querellée porterait atteinte à la "sécurité juridique". À cet égard, il fait valoir que la procédure disciplinaire le visant a été ouverte en janvier 2020 et qu'il a dû s'expliquer sur des faits remontant à l'année 2010, ce qui serait incompatible avec la sécurité du droit.</w:t>
      </w:r>
    </w:p>
    <w:p>
      <w:r>
        <w:rPr>
          <w:b/>
        </w:rPr>
        <w:t>E. 5.5.2</w:t>
      </w:r>
    </w:p>
    <w:p>
      <w:r>
        <w:t>La recevabilité du grief soumis à l'examen de la Cour de céans apparaît des plus douteuses. On peut en effet d'emblée s'interroger sur le point de savoir si un principe aux contours aussi vagues que celui de la "sécurité juridique" entre dans la notion d'ordre public visée par l' art. 190 al. 2 let . e LDIP.</w:t>
      </w:r>
    </w:p>
    <w:p>
      <w:r>
        <w:t>Quoi qu'il en soit, l'argumentation développée par le recourant au soutien de ce grief n'emporte nullement la conviction de la Cour de céans. L'intéressé prétend, de façon inexacte, que c'est seulement à partir de janvier 2020 qu'il a dû fournir des explications au sujet des anomalies observées dans son passeport biologique, constitué d'échantillons prélevés entre janvier 2010 et février 2014. Selon les constatations factuelles figurant dans la sentence attaquée qui lient le Tribunal fédéral, le recourant a en effet été informé, en mai 2017 déjà, de l'ouverture d'une enquête en raison d'une potentielle infraction à la réglementation antidopage. À cette occasion, il a été invité à s'expliquer à propos des anomalies détectées dans son passeport biologique, ce qu'il a fait après avoir consulté un généticien. Aussi est-ce à tort que le recourant affirme n'avoir pu se déterminer qu'en 2020 sur des faits remontant à plus de dix ans.</w:t>
      </w:r>
    </w:p>
    <w:p>
      <w:r>
        <w:t>En tout état de cause, la Cour de céans considère que, sous le couvert d'une prétendue violation du principe de la "sécurité juridique", le recourant tente de contourner, de manière inadmissible, l'obstacle dirimant selon lequel le délai de prescription de dix ans, applicable dans la présente cause, n'était en l'occurrence pas échu, ce que ne conteste au demeurant pas l'intéressé. À le supposer recevable, le grief considéré ne pourrait dès lors qu'être rejeté.</w:t>
      </w:r>
    </w:p>
    <w:p>
      <w:r>
        <w:rPr>
          <w:b/>
        </w:rPr>
        <w:t>E. 6</w:t>
      </w:r>
    </w:p>
    <w:p>
      <w:r>
        <w:t>Au vu de ce qui précède, le recours doit être rejeté dans la mesure de sa recevabilité. Le recourant, qui succombe, supportera les frais de la présente procédure ( art. 66 al. 1 LTF ) et versera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