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4A_682/2011 vom 31. Mai 2012</w:t>
      </w:r>
    </w:p>
    <w:p>
      <w:r>
        <w:t>Bundesgericht, 2012-05-31, DE</w:t>
      </w:r>
    </w:p>
    <w:p>
      <w:r>
        <w:rPr>
          <w:b/>
        </w:rPr>
        <w:t xml:space="preserve">Quelle: </w:t>
      </w:r>
      <w:r>
        <w:t>https://mcp.opencaselaw.ch/entscheid/bger_4A_682_2011</w:t>
      </w:r>
    </w:p>
    <w:p>
      <w:r>
        <w:t>FR: TF 4A_682/2011 du 31 mai 2012</w:t>
      </w:r>
    </w:p>
    <w:p>
      <w:r>
        <w:t>IT: TF 4A_682/2011 del 31 maggio 2012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relevanten Zeitpunkt ihren 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w:t>
      </w:r>
    </w:p>
    <w:p>
      <w:r>
        <w:t>Der Beschwerdeantrag erweist sich somit insoweit als zulässig, als die Aufhebung des angefochtenen Entscheids verlangt wird. Soweit hingegen die Rückweisung der Streitsache an die Vorinstanz zur neuen Entscheidung verlangt wird, ist auf die Beschwerde nicht einzutreten.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namentlich die Parteivorbringen (Urteile 4A_210/2009 vom 7. April 2010 E. 2; 4A_439/2010 vom 20. Oktober 2011 E. 2.1).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2.5</w:t>
      </w:r>
    </w:p>
    <w:p>
      <w:r>
        <w:t>Der Beschwerdeführer verkennt diese Grundsätze teilweise: Er stellt seinen rechtlichen Vorbringen eine mehrseitige Sachverhaltsdarstellung voran, in der er die Hintergründe der Auseinandersetzung sowie des Verfahrens aus eigener Sicht schildert. Dabei weicht er über weite Strecken von den tatsächlichen Feststellungen der Vorinstanz ab oder erweitert diese, ohne substanziiert Ausnahmen von der Sachverhaltsbindung geltend zu machen. Diese Darlegungen haben insoweit unbeachtet zu bleiben. Soweit sich der Beschwerdeführer sodann unter dem Titel "C. Angeblich fehlende Scheinvollmacht von C.________" direkt gegen die vorinstanzlichen Sachverhaltsfeststellungen richtet, verkennt er die Anforderungen an die Begründung einer Sachverhaltsrüge. Es genügt nicht, in diesem Zusammenhang lediglich das Vorliegen des Rügegrundes von Art. 190 Abs. 2 lit. d IPRG bzw. die Verletzung des Anspruchs auf Durchführung eines kontradiktorischen Verfahrens zu behaupten, ohne diesen Vorwurf auch nur im Ansatz in nachvollziehbarer Weise zu erläutern. Darauf ist nicht einzutreten.</w:t>
      </w:r>
    </w:p>
    <w:p>
      <w:r>
        <w:rPr>
          <w:b/>
        </w:rPr>
        <w:t>E. 3</w:t>
      </w:r>
    </w:p>
    <w:p>
      <w:r>
        <w:t>Der Beschwerdeführer rügt, die Vorinstanz habe sein rechtliches Gehör verletzt ( Art. 190 Abs. 2 lit. d IPRG ), indem sie seinem Antrag, es sei das Agreement vom 1. Juni 1999 von einem Experten auf Echtheit zu überprüfen, nur teilweise entsprochen habe. Die Vorinstanz habe dem unabhängigen Experten Dr. N.________ lediglich den Auftrag gegeben, die Echtheit der Unterschriften zu überprüfen, anstatt wie beantragt eine Überprüfung des gesamten Dokumentes anzuordnen. Dieser Mangel sei auch durch den zweiten Expertenbericht vom 20. April 2012 nicht behoben worden, da der Beschwerdeführer keine Möglichkeit gehabt habe, den Experten hierzu mündlich "eingehend zu verhören". Eine weitere Gehörsverletzung sieht der Beschwerdeführer zudem darin, dass die Vorinstanz seinen Antrag, es sei das Agreement von einem von ihm benannten (Partei-)Experten auf Echtheit zu überprüfen, abgewiesen hat.</w:t>
      </w:r>
    </w:p>
    <w:p>
      <w:r>
        <w:rPr>
          <w:b/>
        </w:rPr>
        <w:t>E. 3.1</w:t>
      </w:r>
    </w:p>
    <w:p>
      <w:r>
        <w:t>Die Partei, die sich durch eine Verweigerung des rechtlichen Gehörs oder einen anderen nach Art. 190 Abs. 2 IPRG relevanten Verfahrensmangel für benachteiligt hält, verwirkt ihre Rügen, wenn sie diese nicht rechtzeitig im Schiedsverfahren vorbringt und nicht alle zumutbaren Anstrengungen unternimmt, um den Mangel zu beseitigen (Urteil 4A_617/2010 vom 14. Juni 2011 E. 3.1, publ. in: ASA Bulletin 1/2012, S. 138 ff., 141 f.; BGE 119 II 386 E. 1a S. 388; in Bezug auf Ablehnungsgründe: BGE 126 III 249 E. 3c S. 253 f.; vgl. nunmehr auch den revidierten Art. 1466 des französischen Code de procédure civile: "La partie qui, en connaissance de cause et sans motif légitime, s'abstient d'invoquer en temps utile une irrégularité devant le tribunal arbitral est réputée avoir renoncé à s'en prévaloir"; gemäss dem Rapport au Premier ministre relatif au décret n° 2011-48 du 13 janvier 2011 portant réforme de l'arbitrage, in: Journal officiel de la République française, Texte 8, soll damit das angelsächsische "principe de l'estoppel" kodifiziert werden). Denn es widerspricht Treu und Glauben, einen Verfahrensmangel erst im Rahmen eines Rechtsmittelverfahrens zu rügen, obgleich im Schiedsverfahren die Möglichkeit bestanden hätte, dem Schiedsgericht die Gelegenheit zur Behebung dieses Mangels zu geben ( BGE 119 II 386 E. 1a S. 388; Urteil 4P.72/2001 vom 10. September 2001 E. 4c). Treuwidrig und rechtsmissbräuchlich handelt insbesondere die Partei, welche Rügegründe gleichsam in Reserve hält, um diese bei ungünstigem Prozessverlauf und voraussehbarem Prozessverlust nachzuschieben (vgl. BGE 126 III 249 E. 3c S. 254).</w:t>
      </w:r>
    </w:p>
    <w:p>
      <w:r>
        <w:rPr>
          <w:b/>
        </w:rPr>
        <w:t>E. 3.2.1</w:t>
      </w:r>
    </w:p>
    <w:p>
      <w:r>
        <w:t>In seiner Berufung vom 9. August 2010 stellte der Beschwerdeführer den Antrag, es sei das Original des Agreements vom 1. Juni 1999 von einem vom TAS zu ernennenden, unabhängigen Experten auf seine Echtheit hin überprüfen zu lassen. Falls dieser Experte zum Schluss kommen sollte, das Dokument sei echt, sei dem Beschwerdeführer zudem das Recht zu gewähren, einen eigenen Experten zu bezeichnen.</w:t>
      </w:r>
    </w:p>
    <w:p>
      <w:r>
        <w:t>Mit Schreiben vom 26. Oktober 2010 teilte das TAS den Parteien mit, dass es einen unabhängigen Experten damit beauftragen werde, das Dokument auf seine Echtheit hin zu überprüfen. Den Antrag des Beschwerdeführers, es sei ihm das Recht zu gewähren, einen eigenen Experten zu benennen, falls der unabhängige Experte auf Echtheit schlösse, wies das TAS ab.</w:t>
      </w:r>
    </w:p>
    <w:p>
      <w:r>
        <w:t>Am 22. Dezember 2010 beauftragte das TAS Dr. N.________ vom O.________ der Universität Lausanne als unabhängigen Experten mit der Abklärung der Frage, ob die Unterschrift von G.________ auf dem Agreement vom 1. Juni 1999 echt sei.</w:t>
      </w:r>
    </w:p>
    <w:p>
      <w:r>
        <w:t>Im Expertenbericht vom 12. Januar 2011 kam Dr. N.________ zum Schluss, dass die Unterschrift von G.________ echt sei.</w:t>
      </w:r>
    </w:p>
    <w:p>
      <w:r>
        <w:t>Mit Eingabe vom 24. Januar 2011 nahm der Beschwerdeführer Stellung zum Expertenbericht und kritisierte, dass dieser sich einzig zur Frage äussere, ob die Unterschrift auf dem Agreement echt sei, während der Beschwerdeführer beantragt habe, die Echtheit des Agreements als Ganzes zu untersuchen. Aus diesem Grund stellte sich der Beschwerdeführer gegen "jegliche Berücksichtigung" des Expertenberichts "im vorliegenden Schiedsverfahren" ("to any sort of the Opinion's consideration in the present arbitrational proceedings").</w:t>
      </w:r>
    </w:p>
    <w:p>
      <w:r>
        <w:t>Anlässlich der Schiedsverhandlung vom 1. Februar 2011 wurde der Experte Dr. N.________ angehört. Aufgrund der Einwände des Beschwerdeführers zum ersten Expertenbericht beauftragte das Schiedsgericht den Experten mit weiteren Abklärungen zur Echtheit des Agreements vom 1. Juni 1999.</w:t>
      </w:r>
    </w:p>
    <w:p>
      <w:r>
        <w:t>Im zweiten Expertenbericht vom 20. April 2011 kam Dr. N.________ zum Schluss, dass auch der Briefkopf des untersuchten Dokuments echt sei und keine Anhaltspunkte bestünden, welche die Echtheit des Dokuments in Frage stellen würden.</w:t>
      </w:r>
    </w:p>
    <w:p>
      <w:r>
        <w:t>Hierzu nahm der Beschwerdeführer mit Eingabe vom 4. Mai 2011 Stellung. Er beschränkte sich dabei auf die Behauptung, dass der Beschwerdegegner sowohl in sachverhaltlicher wie rechtlicher Hinsicht keinen Anspruch gegenüber dem Beschwerdeführer habe und dass dies völlig unabhängig von der Echtheit des Agreements vom 1. Juni 1999 sei ("such outcome being entirely independent of the authenticity/non-authenticity of the 'Agreement' dated 1 June 1999"). Die angebliche Echtheit des vom Experten untersuchten Agreements sei deshalb ohne Belang ("would therefore not be important").</w:t>
      </w:r>
    </w:p>
    <w:p>
      <w:r>
        <w:rPr>
          <w:b/>
        </w:rPr>
        <w:t>E. 3.2.2</w:t>
      </w:r>
    </w:p>
    <w:p>
      <w:r>
        <w:t>In der Stellungnahme vom 4. Mai 2011 hat der Beschwerdeführer weder beantragt, es sei Dr. N.________ zum zweiten Expertenbericht anzuhören, noch hat er den Antrag auf Ernennung eines Parteiexperten aufrecht erhalten. Ebenso wenig hat er eine Verletzung des rechtlichen Gehörs gerügt. Im Gegenteil hat er es als belanglos bezeichnet, ob das Agreement vom 1. Juni 1999 echt sei. Damit durfte und musste die Vorinstanz davon ausgehen, dass der Beschwerdeführer in Bezug auf die Abklärungen zur Echtheit des Dokuments keine formellen Einwände mehr hat.</w:t>
      </w:r>
    </w:p>
    <w:p>
      <w:r>
        <w:t>Hätte der Beschwerdeführer dennoch dafür gehalten, dass sein rechtliches Gehör verletzt worden sei, hätte er eine entsprechende Rüge vor Ausfällung des angefochtenen Entscheids vom 15. September 2011 ohne Weiteres vortragen und dadurch dem Schiedsgericht die Gelegenheit zur Behebung des angeblichen Mangels geben können. Indem er dies unterliess und abwartete, ob das Urteil zu seinen Gunsten ausfallen würde, verwirkte er das Recht, sich im Rechtsmittelverfahren vor Bundesgericht auf eine Verletzung des rechtlichen Gehörs zu berufen. Auf die entsprechende Rüge ist nicht einzutreten.</w:t>
      </w:r>
    </w:p>
    <w:p>
      <w:r>
        <w:rPr>
          <w:b/>
        </w:rPr>
        <w:t>E. 4</w:t>
      </w:r>
    </w:p>
    <w:p>
      <w:r>
        <w:t>Der Beschwerdeführer macht sodann geltend, die Vorinstanz habe sein rechtliches Gehör ( Art. 190 Abs. 2 lit. d IPRG ) verletzt sowie gegen den verfahrensrechtlichen Ordre public ( Art. 190 Abs. 2 lit. e IPRG ) verstossen, indem sie die schriftliche Zeugenaussage von C.________ nicht berücksichtigt habe.</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t>Auch im schiedsgerichtlichen Verfahren gilt der Gehörsanspruch indessen nicht unbegrenzt. So ist es dem Schiedsgericht nicht verboten, den Sachverhalt nur aufgrund der als tauglich und erheblich erachteten Beweismittel festzustellen ( BGE 119 II 386 E. 1b S. 389; 116 II 639 E. 4c S. 644). Das Schiedsgericht kann daher auf eine Beweisabnahme verzichten, wenn der entsprechende Beweisantrag eine nicht rechtserhebliche Tatsache betrifft, wenn das angebotene Beweismittel offensichtlich untauglich ist oder wenn das Gericht aufgrund der bereits abgenommenen Beweise seine Überzeugung gebildet hat und in vorweggenommener Beweiswürdigung annehmen kann, dass seine Überzeugung durch weitere Beweiserhebungen nicht geändert würde (vgl. dazu BGE 134 I 140 E. 5.3; 130 II 425 E. 2.1 S. 429 ; 124 I 208 E. 4a). Die antizipierte Würdigung von Beweisen durch ein internationales Schiedsgericht kann im Beschwerdeverfahren nur unter dem beschränkten Blickwinkel einer Verletzung des Ordre public überprüft werden (Urteile 4A_600/2010 vom 17. März 2011 E. 4.1; 4P.23/2006 vom 27. März 2006 E. 3.1; 4P.114/2003 vom 14. Juli 2003 E. 2.2).</w:t>
      </w:r>
    </w:p>
    <w:p>
      <w:r>
        <w:rPr>
          <w:b/>
        </w:rPr>
        <w:t>E. 4.2</w:t>
      </w:r>
    </w:p>
    <w:p>
      <w:r>
        <w:t>Die Vorinstanz hat sich in Erwägung 2.8 ihres Entscheids mit der schriftlichen Zeugenaussage von C.________ auseinandergesetzt. Sie hat ausgeführt, dass gemäss dieser Zeugenaussage am 1. Juni 1999 ein Treffen zwischen G.________ und K.________ im Büro des Vorsitzenden des Beschwerdeführers in A.________ stattgefunden habe. Die Anwesenheit von K.________ am 1. Juni 1999 in A.________ werde indessen durch andere Beweismitteln in Frage gestellt, namentlich durch die Zeugenaussagen von K.________ selbst sowie von F.________ und E.________. Nach reiflicher Überlegung komme die Vorinstanz zum Schluss, dass K.________ am 1. Juni 1999 nicht physisch in A.________ anwesend gewesen sei. In diesem Zusammenhang stütze sich die Vorinstanz auf die Zeugenaussage von E.________, der anlässlich der Schiedsverhandlung vom 1. Februar 2011 mündlich bestätigt habe, dass K.________ während des Vertragsabschlusses nicht anwesend gewesen sei.</w:t>
      </w:r>
    </w:p>
    <w:p>
      <w:r>
        <w:t>Diesen Erwägungen fügte die Vorinstanz wörtlich Folgendes hinzu:</w:t>
      </w:r>
    </w:p>
    <w:p>
      <w:r>
        <w:t>"The Panel is also of the opinion that the witness statement of C.________ is not to be taken into account, if not confirmed by other evidence, because C.________ decided at the last moment not to appear at the hearing held in front of the Panel, and by this surprising even the Appellant and its Counsel. Moreover, the Panel found that there were contradictions between the written witness statement of C.________, and the testimony of the president of the Appellant, who testified orally at the hearing."</w:t>
      </w:r>
    </w:p>
    <w:p>
      <w:r>
        <w:t>Daraus folgt, dass die Vorinstanz die schriftliche Zeugenaussage von C.________ keineswegs ignoriert oder unbeachtet gelassen, sondern durchaus abgenommen, analysiert, den anderen Beweismitteln gegenüber gestellt und auf Übereinstimmung hin überprüft hat (vgl. den Hinweis auf "contradictions between the written witness statement of C.________, and the testimony of the president of the Appellant"). Darin, dass die Vorinstanz der schriftlichen Zeugenaussage von C.________ keine Bedeutung zumessen will, soweit sie nicht durch andere Beweismittel bestätigt wird, liegt somit Beweiswürdigung. Von einer Nichtberücksichtigung der Zeugenaussage von C.________ kann keine Rede sein. Eine Verletzung des rechtlichen Gehörs liegt nicht vor.</w:t>
      </w:r>
    </w:p>
    <w:p>
      <w:r>
        <w:rPr>
          <w:b/>
        </w:rPr>
        <w:t>E. 4.3</w:t>
      </w:r>
    </w:p>
    <w:p>
      <w:r>
        <w:t>Soweit der Beschwerdeführer im Zusammenhang mit der schriftlichen Zeugenaussage von C.________ auch den formellen Ordre public anruft, kann darauf nicht eingetreten werden, gehen doch die speziellen Anfechtungsgründe von Art. 190 Abs. 2 lit. a-d IPRG demjenigen nach Art. 190 Abs. 2 lit. e IPRG vor (Urteile 4A_600/2010 vom 17. März 2011 E. 4.3 in: ASA Bulletin 2012, S. 119 ff., 125; 4P.105/2006 vom 4. August 2006 E. 5.3 in: ASA Bulletin 2007, S. 105 ff., 114).</w:t>
      </w:r>
    </w:p>
    <w:p>
      <w:r>
        <w:rPr>
          <w:b/>
        </w:rPr>
        <w:t>E. 5</w:t>
      </w:r>
    </w:p>
    <w:p>
      <w:r>
        <w:t>Die Beschwerde ist abzuweisen, soweit darauf eingetreten werden kann.</w:t>
      </w:r>
    </w:p>
    <w:p>
      <w:r>
        <w:t>Bei diesem Verfahrensausgang wird der Beschwerdeführer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