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4A_67/2022 vom 11. April 2022</w:t>
      </w:r>
    </w:p>
    <w:p>
      <w:r>
        <w:t>Bundesgericht, 2022-04-11, DE</w:t>
      </w:r>
    </w:p>
    <w:p>
      <w:r>
        <w:rPr>
          <w:b/>
        </w:rPr>
        <w:t xml:space="preserve">Quelle: </w:t>
      </w:r>
      <w:r>
        <w:t>https://mcp.opencaselaw.ch/entscheid/bger_4A_67_2022</w:t>
      </w:r>
    </w:p>
    <w:p>
      <w:r>
        <w:t>FR: TF 4A_67/2022 du 11 avril 2022</w:t>
      </w:r>
    </w:p>
    <w:p>
      <w:r>
        <w:t>IT: TF 4A_67/2022 del 11 aprile 2022</w:t>
      </w:r>
    </w:p>
    <w:p>
      <w:pPr>
        <w:pStyle w:val="Heading2"/>
      </w:pPr>
      <w:r>
        <w:t>Erwägungen</w:t>
      </w:r>
    </w:p>
    <w:p>
      <w:r>
        <w:rPr>
          <w:b/>
        </w:rPr>
        <w:t>E. 1.1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1.2</w:t>
      </w:r>
    </w:p>
    <w:p>
      <w:r>
        <w:t>Der Beschwerdeführer beantragt als Verfahrensantrag, dass ihm nach Eingang der Beschwerdeantwort ein Replikrecht zu gewähren sei (Rechtsbegehren Ziff. 4). Da auf die Einholung einer Beschwerdeantwort verzichtet wurde (Sachverhalt C), entfällt auch das Replikrecht.</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legte im angefochtenen Entscheid vorab dar, dass unter den vorliegenden Umständen die aus der Observation gewonnenen Erkenntnisse bei der Entscheidfindung berücksichtigt werden könnten und es sich dabei entgegen der Ansicht des Beschwerdeführers nicht um rechtswidrig beschaffte Beweismittel handle.</w:t>
      </w:r>
    </w:p>
    <w:p>
      <w:r>
        <w:t>Mit diesen Erwägungen setzt sich der Beschwerdeführer nicht hinreichend auseinander noch zeigt er rechtsgenüglich auf (Erwägung 2.1), dass die Vorinstanz Bundesrecht verletzt hätte, indem er pauschal behauptet, dass eine Observation erst erfolgen dürfe, wenn die medizinischen Abklärungen erfolglos verlaufen seien, die Observation einen schweren Eingriff in seine Persönlichkeitsrechte darstelle und "keineswegs" verhältnismässig gewesen sei.</w:t>
      </w:r>
    </w:p>
    <w:p>
      <w:r>
        <w:rPr>
          <w:b/>
        </w:rPr>
        <w:t>E. 4</w:t>
      </w:r>
    </w:p>
    <w:p>
      <w:r>
        <w:t>Der Beschwerdeführer beanstandet die vorinstanzliche Beweiswürdigung, wonach ihm der Nachweis der Arbeitsunfähigkeit nicht gelungen sei.</w:t>
      </w:r>
    </w:p>
    <w:p>
      <w:r>
        <w:rPr>
          <w:b/>
        </w:rPr>
        <w:t>E. 4.1</w:t>
      </w:r>
    </w:p>
    <w:p>
      <w:r>
        <w:t>Die Vorinstanz ging auf die einzelnen Unterlagen ein und kam zusammengefasst zum Ergebnis, dass der Beschwerdeführer mit diesen Dokumenten die Arbeitsunfähigkeit ab dem 1. Februar 2019 nicht mit dem Beweisgrad der überwiegenden Wahrscheinlichkeit nachzuweisen vermöge.</w:t>
      </w:r>
    </w:p>
    <w:p>
      <w:r>
        <w:rPr>
          <w:b/>
        </w:rPr>
        <w:t>E. 4.2</w:t>
      </w:r>
    </w:p>
    <w:p>
      <w:r>
        <w:t>Die Vorinstanz ging entsprechend davon aus, dass der Beschwerdeführer eine Beweiserleichterung geniesse, indem er nur eine überwiegende Wahrscheinlichkeit für das Bestehen des geltend gemachten Anspruches darzutun habe. Das Bundesgericht hat jedoch in einem kürzlich gefällten Urteil entschieden, dass bei Versicherungsfällen, wie dem vorliegenden, für die behauptete Arbeitsunfähigkeit nicht das reduzierte Beweismass der überwiegenden Wahrscheinlichkeit, sondern das ordentliche Beweismass der vollen Überzeugung gilt (Urteil 4A_117/2021 vom 31. August 2021 E. 3.3.1, zur Publikation vorgesehen). Umsomehr gilt daher, dass dem Beschwerdeführer der Nachweis unter dem strengeren, ordentlichen Beweismass nicht gelungen ist.</w:t>
      </w:r>
    </w:p>
    <w:p>
      <w:r>
        <w:t>Zudem ist zu beachten, dass das Bundesgericht in die vorinstanzliche Beweiswürdigung nur eingreift, wenn sie willkürlich ist.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 Die Beweiswürdigung ist mithin nicht schon dann willkürlich, wenn sie nicht mit der Darstellung der beschwerdeführenden Partei übereinstimmt, sondern bloss, wenn sie offensichtlich unhaltbar ist ( BGE 141 III 564 E. 4.1; 135 II 356 E. 4.2.1).</w:t>
      </w:r>
    </w:p>
    <w:p>
      <w:r>
        <w:rPr>
          <w:b/>
        </w:rPr>
        <w:t>E. 4.3</w:t>
      </w:r>
    </w:p>
    <w:p>
      <w:r>
        <w:t>Der Beschwerdeführer genügt diesen Anforderungen nicht. Er schildert bloss die einzelnen Dokumente aus seiner eigenen Sicht und behauptet, dass ihm damit der Beweis der Arbeitsunfähigkeit gelungen und die widersprechende Würdigung der Vorinstanz willkürlich sei. Er legt aber nicht rechtsgenüglich dar, inwiefern die Beweiswürdigung der Vorinstanz geradezu offensichtlich unrichtig im genannten Sinn wäre. Darauf ist nicht einzutreten.</w:t>
      </w:r>
    </w:p>
    <w:p>
      <w:r>
        <w:t>Das Gleiche gilt, wenn er bezüglich einzelner Dokumente behauptet, die Vorinstanz habe den Sachverhalt in tatsachenwidriger Weise festgestellt, ohne aber rechtsgenüglich darzulegen, inwiefern die Feststellungen der Vorinstanz offensichtlich unrichtig wären (Erwägung 2.2).</w:t>
      </w:r>
    </w:p>
    <w:p>
      <w:r>
        <w:rPr>
          <w:b/>
        </w:rPr>
        <w:t>E. 4.4</w:t>
      </w:r>
    </w:p>
    <w:p>
      <w:r>
        <w:t>Fehl geht die Rüge des Beschwerdeführers, wonach die Vorinstanz nicht gewürdigt habe, dass er nach dem aktenkundigen Schreiben der Klinik D.________ vom 16. Mai 2019 zwischen dem 16. Mai und dem 27. Juni 2019 "elf (!!!) Arzttermine" gehabt habe und alleine diese hohe Frequenz an Arztterminen auf eine schwere körperliche Beeinträchtigung bzw. eine bestehende Arbeitsunfähigkeit schliessen lasse.</w:t>
      </w:r>
    </w:p>
    <w:p>
      <w:r>
        <w:t>Entgegen der Auffassung des Beschwerdeführers ging die Vorinstanz sehr wohl auf das Bestätigungsschreiben der Klinik D.________ bezüglich der anstehenden Behandlungstermine ein und legte dar, dass daraus nicht hervorgehe, ob und inwieweit der Beschwerdeführer zu diesem Zeitpunkt im Hinblick auf seine berufliche Tätigkeit funktionell eingeschränkt gewesen sei. Dass solches aus dem Schreiben der Klinik entgegen den Feststellungen der Vorinstanz hervorgehen würde, macht der Beschwerdeführer nicht geltend (Erwägung 2.2). Im Übrigen lässt sich einzig aus einer hohen Anzahl von Arztterminen auch nicht auf eine konkrete Arbeitsunfähigkeit schliessen.</w:t>
      </w:r>
    </w:p>
    <w:p>
      <w:r>
        <w:rPr>
          <w:b/>
        </w:rPr>
        <w:t>E. 5</w:t>
      </w:r>
    </w:p>
    <w:p>
      <w:r>
        <w:t>Die Vorinstanz legte ausführlich dar, warum sie unter den gegebenen Umständen auf eine Zeugenbefragung von Dr. E.________ und Dr. F.________ sowie auf die Einholung eines Gerichtsgutachtens in einer antizipierten Beweiswürdigung verzichtete.</w:t>
      </w:r>
    </w:p>
    <w:p>
      <w:r>
        <w:t>Damit setzt sich der Beschwerdeführer nicht hinreichend auseinander (Erwägung 2.1) noch zeigt er rechtsgenüglich auf, inwiefern die Vorinstanz in Willkür verfallen wäre, als sie auf die Zeugenaussagen und die Einholung des Gutachtens verzichtete (vgl. BGE 146 III 73 E. 5.2.2 mit Hinweisen), indem er bloss entgegen der Auffassung der Vorinstanz behauptet, dass aus den Aussagen der beiden Ärzte "wohl" entscheidrelevante Erkenntnisse zu erwarten gewesen wären und es dem Gerichtsgutachter "ohne weiteres" möglich gewesen wäre, den Beschwerdeführer zu untersuchen und rückwirkend Aussagen zu seiner Arbeitsfähigkeit zu machen.</w:t>
      </w:r>
    </w:p>
    <w:p>
      <w:r>
        <w:rPr>
          <w:b/>
        </w:rPr>
        <w:t>E. 6</w:t>
      </w:r>
    </w:p>
    <w:p>
      <w:r>
        <w:t>Damit trägt bereits die Haupterwägung der Vorinstanz, wonach es dem Beschwerdeführer nicht gelungen ist, eine Arbeitsunfähigkeit ab dem 1. Februar 2019 nachzuweisen. Auf die Eventualerwägung der Vorinstanz, wonach auch eine betrügerische Begründung des Versicherungsanspruches vorliege, und die dagegen erhobenen Rügen des Beschwerdeführers, braucht bei dieser Sachlage nicht eingegangen zu werden.</w:t>
      </w:r>
    </w:p>
    <w:p>
      <w:r>
        <w:rPr>
          <w:b/>
        </w:rPr>
        <w:t>E. 7</w:t>
      </w:r>
    </w:p>
    <w:p>
      <w:r>
        <w:t>Die Beschwerde ist nach dem Ausgeführten abzuweisen, soweit darauf überhaupt eingetreten werden kann.</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