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4A_67/2007 vom 15. Juni 2007</w:t>
      </w:r>
    </w:p>
    <w:p>
      <w:r>
        <w:t>Bundesgericht, 2007-06-15, DE</w:t>
      </w:r>
    </w:p>
    <w:p>
      <w:r>
        <w:rPr>
          <w:b/>
        </w:rPr>
        <w:t xml:space="preserve">Quelle: </w:t>
      </w:r>
      <w:r>
        <w:t>https://mcp.opencaselaw.ch/entscheid/bger_4A_67_2007</w:t>
      </w:r>
    </w:p>
    <w:p>
      <w:r>
        <w:t>FR: TF 4A_67/2007 du 15 juin 2007</w:t>
      </w:r>
    </w:p>
    <w:p>
      <w:r>
        <w:t>IT: TF 4A_67/2007 del 15 giugno 2007</w:t>
      </w:r>
    </w:p>
    <w:p>
      <w:pPr>
        <w:pStyle w:val="Heading2"/>
      </w:pPr>
      <w:r>
        <w:t>Erwägungen</w:t>
      </w:r>
    </w:p>
    <w:p>
      <w:r>
        <w:rPr>
          <w:b/>
        </w:rPr>
        <w:t>E. 1</w:t>
      </w:r>
    </w:p>
    <w:p>
      <w:r>
        <w:t>Weil der angefochtene Entscheid nach dem Datum des Inkrafttretens des Bundesgesetzes über das Bundesgericht (BGG; SR 173.110), dem 1. Januar 2007 (AS 2006, 1242) ergangen ist, untersteht die Beschwerde neuem Recht ( Art. 132 Abs. 1 BGG ).</w:t>
      </w:r>
    </w:p>
    <w:p>
      <w:r>
        <w:rPr>
          <w:b/>
        </w:rPr>
        <w:t>E. 2.1</w:t>
      </w:r>
    </w:p>
    <w:p>
      <w:r>
        <w:t>Die Beschwerde in Zivilsachen ist in der vorliegenden Streitigkeit grundsätzlich zulässig ( Art. 72 BGG ), zumal der Streitwert mit Fr. 38'910.-- die Grenze von Art. 74 Abs. 1 lit. a BGG übersteigt. Die Gesuchsgegnerin, mithin die Kollektivgesellschaft, existierte im Zeitpunkt der Einreichung der Beschwerde (23. März 2007) indes nicht mehr; sie wurde gemäss Handelsregisterauszug am 19. Februar 2007 infolge Ausscheidens der einen Gesellschafterin aufgelöst; die Firma ist erloschen. Jedoch führt der andere Gesellschafter das Geschäft im Sinne von Art. 579 Abs. 1 OR als Einzelfirma fort. Der verbleibende Gesellschafter hat damit das gesamte Gesellschaftsvermögen durch Anwachsung zu Alleineigentum erhalten ( BGE 81 II 358 E. 1 S. 362); die Fortsetzung gemäss Art. 579 OR gilt nicht als Auflösung der Gesellschaft ( BGE 101 Ib 456 E. 2c S. 460 f. ; 75 I 273 ; Daniel Staehelin, in: Basler Kommentar, 2. Aufl., Basel etc. 2002, N. 2 zu Art. 579 OR , mit Hinweisen). Das Verfahren wird durch den Einzelfirmeninhaber weitergeführt (vgl. Alfred Siegwart, in: Zürcher Kommentar, Bern 1938/ 1978, N. 7 zu Art. 562 OR ); ihm ist die Aktivlegitimation zugewachsen (vgl. Karl Wieland, Handelsrecht, Erster Band, München/Leipzig 1921, S. 726). Die Parteibezeichnung im vorliegenden Verfahren ist entsprechend zu berichtigen.</w:t>
      </w:r>
    </w:p>
    <w:p>
      <w:r>
        <w:rPr>
          <w:b/>
        </w:rPr>
        <w:t>E. 2.2</w:t>
      </w:r>
    </w:p>
    <w:p>
      <w:r>
        <w:t>Die Beschwerde ist zulässig gegen Entscheide letzter kantonaler Instanzen ( Art. 75 Abs. 1 BGG ). Die Nichtigkeitsbeschwerde an das kantonale Kassationsgericht ist u.a. gegeben, wenn der Kammerpräsident des Kantonsgerichts nach Art. 20 Abs. 2 ZPO /SG über eine Berufung allein entscheidet; unzulässig ist sie aber gegen Rekursentscheide des Einzelrichters des Kantonsgerichts, ausser im Fall von Art. 237 Abs. 2 Ziff. 2 ZPO /SG (Christoph Leuenberger/Beatrice Uffer-Tobler, Kommentar zur Zivilprozessordnung des Kantons St. Gallen, Bern 1999, N. 3 zu Art. 237 ZPO /SG). Diese Bestimmung bezieht sich indes auf die Mitwirkungspflicht Dritter, welche im konkreten Fall nicht betroffen ist. Insofern ist der kantonale Instanzenzug hier erschöpft. Der angefochtene Entscheid schliesst das Verfahren ab ( Art. 90 BGG ). Die Beschwerdefrist von 30 Tagen nach Art. 100 Abs. 1 BGG wurde eingehalten (vgl. Art. 44 ff. BGG ).</w:t>
      </w:r>
    </w:p>
    <w:p>
      <w:r>
        <w:rPr>
          <w:b/>
        </w:rPr>
        <w:t>E. 2.3</w:t>
      </w:r>
    </w:p>
    <w:p>
      <w:r>
        <w:t>Mit der Beschwerde kann nach Art. 95 lit. a BGG insbesondere die Verletzung von Bundesrecht gerügt werden. Dieses umfasst sowohl die Bundesgesetze wie Verordnungs- und Verfassungsrecht. Richtet sich die Beschwerde aber gegen einen Entscheid über vorsorgliche Massnahmen, kann nur die Verletzung verfassungsmässiger Rechte gerügt werden ( Art. 98 BGG ). Der angefochtene Entscheid ist im Verfahren nach Art. 197 ZPO /SG ergangen. Gemäss Art. 197 Abs. 1 lit. a ZPO /SG gewährt der Richter raschen Rechtsschutz für die schnelle Handhabung klaren Rechts und über den Besitzesschutz, wenn der Sachverhalt nicht streitig oder sofort feststellbar ist. Der Prozess vor dem ordentlichen Richter bleibt vorbehalten. Dieser Vorbehalt ist dahin zu verstehen, dass den Parteien freisteht, entweder das ordentliche Verfahren oder dasjenige zur Handhabung klaren Rechts zu wählen (Leuenberger/Uffer-Tobler, a.a.O., N. 4b zu Art. 197 ZPO /SG). Der angefochtene Entscheid ist daher nicht bloss eine vorsorgliche Massnahme im Sinne von Art. 98 BGG (vgl. Botschaft vom 28. Februar 2001 zur Totalrevision der Bundesrechtspflege, BBl 2001 S. 4336); er ist der materiellen Rechtskraft fähig.</w:t>
      </w:r>
    </w:p>
    <w:p>
      <w:r>
        <w:rPr>
          <w:b/>
        </w:rPr>
        <w:t>E. 2.4</w:t>
      </w:r>
    </w:p>
    <w:p>
      <w:r>
        <w:t>Soweit eine Verletzung von Art. 18 OR bzw. eine offensichtlich unrichtige Feststellung des Sachverhalts durch die Vorinstanz ( Art. 97 Abs. 1 BGG ) gerügt wird, werden dem Grundsatz nach zulässige Rügen erhoben (vgl. Art. 95 lit. a BGG ). Unzulässig ist indes der Einwand, die Vorinstanz hätte nicht feststellen dürfen, dass klares Recht und liquide tatsächliche Verhältnisse vorliegen, geht es dabei doch um die Anwendung kantonalen Rechts ( Art. 197 lit. a ZPO /SG). Gemäss Art. 42 Abs. 1 und 2 BGG ist die Beschwerde hinreichend zu begründen, andernfalls wird darauf nicht eingetreten. Das Bundesgericht prüft grundsätzlich nur die geltend gemachten Rügen; es ist nicht gehalten, wie eine erstinstanzliche Behörde alle sich stellenden Fragen zu prüfen, wenn diese nicht mehr vorgetragen worden sind.</w:t>
      </w:r>
    </w:p>
    <w:p>
      <w:r>
        <w:rPr>
          <w:b/>
        </w:rPr>
        <w:t>E. 3</w:t>
      </w:r>
    </w:p>
    <w:p>
      <w:r>
        <w:t>Gemäss Art. 97 Abs. 1 BGG kann die Feststellung des Sachverhalts nur gerügt werden, wenn sie offensichtlich unrichtig ist oder auf einer Rechtsverletzung im Sinne von Art. 95 beruht und wenn die Behebung des Mangels für den Ausgang des Verfahrens entscheidend sein kann. Entgegen der Ansicht des Beschwerdeführers hat die Vorinstanz den Sachverhalt nicht offensichtlich unrichtig festgestellt, wenn sie von einem klaren Wortlaut der "Kaufbestätigung" vom 21. Mai 2005 ausgegangen ist. Soweit der Beschwerdeführer vorbringt, die Vorinstanz habe die angebliche Widersprüchlichkeit dieser Bestätigung nicht erkannt und sie sei jedenfalls in diesem Zusammenhang darauf nicht eingegangen, ist der Beschwerde nicht zu entnehmen, welche Grundrechte die Vorinstanz inwiefern verletzt haben sollte ( Art. 106 Abs. 2 BGG ). Soweit der Beschwerdeführer die Sachverhaltsfeststellung der Vorinstanz beanstandet, ist auf seine Rügen nicht einzutreten ( Art. 42 Abs. 2 BGG ).</w:t>
      </w:r>
    </w:p>
    <w:p>
      <w:r>
        <w:rPr>
          <w:b/>
        </w:rPr>
        <w:t>E. 4</w:t>
      </w:r>
    </w:p>
    <w:p>
      <w:r>
        <w:t>Der Beschwerdeführer macht geltend, die Vorinstanz habe die Regeln der Vertragsauslegung missachtet und damit Bundesrecht ( Art. 18 OR ) verletzt.</w:t>
      </w:r>
    </w:p>
    <w:p>
      <w:r>
        <w:rPr>
          <w:b/>
        </w:rPr>
        <w:t>E. 4.1</w:t>
      </w:r>
    </w:p>
    <w:p>
      <w:r>
        <w:t>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131 III 467 E. 1.1 S. 469). Das Bundesgericht überprüft diese objektivierte Auslegung von Willenserklärungen als Rechtsfrage, wobei es an die Feststellungen des kantonalen Richters über die äusseren Umstände sowie das Wissen und Wollen der Beteiligten grundsätzlich gebunden ist ( Art. 105 Abs. 1 BGG ; BGE 133 III 61 E. 2.2.1 S. 67).</w:t>
      </w:r>
    </w:p>
    <w:p>
      <w:r>
        <w:rPr>
          <w:b/>
        </w:rPr>
        <w:t>E. 4.2</w:t>
      </w:r>
    </w:p>
    <w:p>
      <w:r>
        <w:t>Soweit die Beschwerde hinreichend begründet worden ( Art. 42 Abs. 2 BGG ) und die Auslegung nach dem Vertrauensprinzip insofern überhaupt zu prüfen ist, ist keine Rechtsverletzung ersichtlich. Die Vorinstanz hat festgehalten, sowohl aus der "Kaufbestätigung" vom 21. Mai 2005 als auch aus dem Geschäftsführervertrag vom 10. November 2005 gehe ohne weiteres hervor, dass der Beschwerdeführer die fraglichen Tiere erworben hat. Die "Kaufbestätigung" ist nicht nur als solche überschrieben, sondern die Veräusserer bestätigen im Text ausdrücklich den Erwerb der Showtiere durch den Beschwerdegegner. Die Vorinstanz hat den bundesrechtlichen Vertrauensgrundsatz nicht verletzt, wenn sie aus dem in der "Kaufbestätigung" erwähnten Zweck der Sicherstellung nicht auf eine blosse Pfandbestellung schloss, für die keinerlei Anhaltspunkte bestehen (vgl. Art. 884 ZGB ). Zwar ist in der Vereinbarung vom 21. Mai 2005 von "Sicherstellung" die Rede. Die Vereinbarung kann aber nicht anders interpretiert werden denn als Kauf, zumal die Parteien darin die "Hoffnung, nach der Tilgung der Verbindlichkeiten/Verpflichtungen der Parks die Tiere zum gleichen Preis an die Veräusserer zurück zu geben" ausdrücken. Weder leidet die "Kaufbestätigung" an einem Widerspruch noch hat die Vorinstanz diese widersprüchlich interpretiert, wenn sie annahm, der Zweck der Sicherstellung beeinträchtige die Gültigkeit des Kaufs nicht, zumal die Möglichkeit eines Rückkaufs erwähnt wurde.</w:t>
      </w:r>
    </w:p>
    <w:p>
      <w:r>
        <w:rPr>
          <w:b/>
        </w:rPr>
        <w:t>E. 5</w:t>
      </w:r>
    </w:p>
    <w:p>
      <w:r>
        <w:t>Die Beschwerde in Zivilsachen ist als unbegründet abzuweisen, soweit darauf eingetreten werden kann. Die Gerichtsgebühr ist bei diesem Verfahrensausgang dem Beschwerdeführer aufzuerlegen; deren Höhe richtet sich grundsätzlich nach dem Streitwert ( Art. 65 BGG ). Der Beschwerdeführer hat ausserdem dem Beschwerdegegner dessen Parteikosten für das vorliegende Verfahren zu ersetzen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