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4A_679/2016 vom 22. Mai 2017</w:t>
      </w:r>
    </w:p>
    <w:p>
      <w:r>
        <w:t>Bundesgericht, 2017-05-22, FR</w:t>
      </w:r>
    </w:p>
    <w:p>
      <w:r>
        <w:rPr>
          <w:b/>
        </w:rPr>
        <w:t xml:space="preserve">Quelle: </w:t>
      </w:r>
      <w:r>
        <w:t>https://mcp.opencaselaw.ch/entscheid/bger_4A_679_2016</w:t>
      </w:r>
    </w:p>
    <w:p>
      <w:r>
        <w:t>FR: TF 4A_679/2016 du 22 mai 2017</w:t>
      </w:r>
    </w:p>
    <w:p>
      <w:r>
        <w:t>IT: TF 4A_679/2016 del 22 maggio 2017</w:t>
      </w:r>
    </w:p>
    <w:p>
      <w:pPr>
        <w:pStyle w:val="Heading2"/>
      </w:pPr>
      <w:r>
        <w:t>Erwägungen</w:t>
      </w:r>
    </w:p>
    <w:p>
      <w:r>
        <w:rPr>
          <w:b/>
        </w:rPr>
        <w:t>E. 1.1</w:t>
      </w:r>
    </w:p>
    <w:p>
      <w:r>
        <w:t>Le recourant a souscrit une assurance-vie par contrat de droit privé soumis à la loi fédérale sur le contrat d'assurance (LCA; RS 221.229.1). Les conditions contractuelles ont été modifiées dans le cadre d'un transfert forcé du portefeuille d'assurance vers un nouvel assureur, ordonné par la FINMA en vertu de l' art. 62 al. 2 LSA . La décision de la FINMA est fondée sur le droit public et relève de la juridiction administrative, en dernier lieu du Tribunal fédéral qui peut être saisi au moyen du recours en matière de droit public ( art. 82 let. a LTF ; arrêt 2C_872/2015 du 1</w:t>
      </w:r>
    </w:p>
    <w:p>
      <w:r>
        <w:t>er août 2016 consid. 1.1).</w:t>
      </w:r>
    </w:p>
    <w:p>
      <w:r>
        <w:t>Cela étant, le présent litige oppose le preneur d'assurance au nouvel assureur qui a repris le portefeuille de M.________ SA. S'inscrivant dans un rapport de droit privé, il relève sur le principe du juge civil (cf. aussi art. 85 al. 1 LSA et ATF 133 III 439 consid. 2.2.2.2 p. 443). Le fait qu'un litige ressortisse à la matière civile n'exclut pas que le juge civil doive trancher des questions préalables de droit public.</w:t>
      </w:r>
    </w:p>
    <w:p>
      <w:r>
        <w:t>Est ainsi ouverte la voie du recours en matière civile, et non celle du recours en matière de droit public. L'intimée ne dit du reste pas le contraire.</w:t>
      </w:r>
    </w:p>
    <w:p>
      <w:r>
        <w:rPr>
          <w:b/>
        </w:rPr>
        <w:t>E. 1.2</w:t>
      </w:r>
    </w:p>
    <w:p>
      <w:r>
        <w:t>La loi requiert une valeur litigieuse minimale de 30'000 fr. ( art. 74 al. 1 let. b LTF ). Sont déterminantes les conclusions restées litigieuses devant l'autorité précédente ( art. 51 al. 1 let. a LTF ).</w:t>
      </w:r>
    </w:p>
    <w:p>
      <w:r>
        <w:t>Le conflit porte sur le fait que la nouvelle police d'assurance prévoit un capital garanti à hauteur de 184'314 fr. seulement en cas de vie à l'échéance du contrat le 1</w:t>
      </w:r>
    </w:p>
    <w:p>
      <w:r>
        <w:t>er août 2018, tandis que l'ancienne accordait une garantie de 230'000 fr. Le premier juge a considéré que la valeur litigieuse résultait de la différence entre les deux montants garantis (230'000 - 184'314 = 45'686 fr.). Les juges cantonaux ont simplement précisé que la valeur litigieuse dépassait 30'000 fr., reprenant ainsi implicitement à leur compte l'analyse du Tribunal civil. Cette appréciation ne prête pas le flanc à la critique. L'on ne saurait, comme le plaide l'intimée, se fonder sur la différence entre la garantie initiale de 230'000 fr. et la valeur de rachat actuelle de la police, alors que l'enjeu est de déterminer quel montant minimal est garanti en cas de vie le 1</w:t>
      </w:r>
    </w:p>
    <w:p>
      <w:r>
        <w:t>er août 2018. Le seuil légal de 30'000 fr. est ainsi dépassé. Cette constatation prive d'objet toute discussion sur la recevabilité des pièces fournies par l'intimée à l'appui de son argumentation.</w:t>
      </w:r>
    </w:p>
    <w:p>
      <w:r>
        <w:rPr>
          <w:b/>
        </w:rPr>
        <w:t>E. 1.3</w:t>
      </w:r>
    </w:p>
    <w:p>
      <w:r>
        <w:t>Le Tribunal fédéral applique le droit d'office, sous réserve des droits fondamentaux ( art. 106 LTF ). Il n'est donc limité ni par les arguments soulevés dans le recours, ni par la motivation retenue par l'autorité précédente. Il peut admettre un recours pour un autre motif que ceux qui ont été invoqués comme il peut rejeter un recours en adoptant une argumentation différente de celle de l'autorité précédente. Eu égard à l'exigence de motivation qu'impose l' art. 42 al. 1 et 2 LTF ,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135 III 397 consid. 1.4 p. 400).</w:t>
      </w:r>
    </w:p>
    <w:p>
      <w:r>
        <w:rPr>
          <w:b/>
        </w:rPr>
        <w:t>E. 2.1</w:t>
      </w:r>
    </w:p>
    <w:p>
      <w:r>
        <w:t>Le recourant agit en constatation de droit. Une telle action vise à faire constater l'existence ou l'inexistence d'un droit ou d'un rapport de droit ( art. 88 CPC ). Le demandeur doit justifier d'un intérêt digne de protection (cf. art. 59 al. 2 let. a CPC ) à la constatation immédiate de la situation de droit. Cet intérêt n'est pas nécessairement de nature juridique; il peut s'agir d'un pur intérêt de fait. Cette condition est notamment remplie lorsque les relations juridiques entre les parties sont incertaines et que cette incertitude peut être levée par la constatation judiciaire ( ATF 141 III 68 consid. 2.3 p. 71).</w:t>
      </w:r>
    </w:p>
    <w:p>
      <w:r>
        <w:t>Les termes « constatation immédiate» signifient que le demandeur doit avoir un intérêt à la constatation anticipée, lorsqu'une action postérieure tendant à l'obtention d'une prestation entre en considération. Un tel intérêt fait en principe défaut lorsque les prétentions du demandeur sont totalement exigibles et pourraient d'ores et déjà faire l'objet d'une action condamnatoire ( ATF 103 II 220 consid. 3). Le demandeur doit se trouver dans une incertitude juridique qui ne saurait raisonnablement persister plus longtemps, par exemple parce qu'il est entravé dans sa liberté de décision ( ATF 135 III 378 consid. 2.2 p. 380), parce qu'il est empêché d'agir avant un certain temps en exécution d'une prestation ou en réparation du dommage complet ( ATF 123 III 49 consid. 1a p. 51), ou encore parce qu'il veut faire constater la validité du rapport juridique qui fonde la prétention exigible en vue de son développement futur (arrêt 4A_589/2011 du 5 avril 2012 consid. 4.1; ATF 84 II 685 consid. 2 p. 692).</w:t>
      </w:r>
    </w:p>
    <w:p>
      <w:r>
        <w:rPr>
          <w:b/>
        </w:rPr>
        <w:t>E. 2.2</w:t>
      </w:r>
    </w:p>
    <w:p>
      <w:r>
        <w:t>Dans le cas concret, le preneur d'assurance veut faire constater que les conditions initiales de la police d'assurance prévalent toujours et qu'un capital de 230'000 fr. est garanti en cas de survie à l'échéance du contrat le 1er août 2018. On peut s'interroger sur l'intérêt du preneur à faire constater ses droits à ce stade, sachant qu'il pourra ouvrir une action en exécution lorsque la prestation sera exigible et que dans ce cadre, les conditions d'assurance pourront être discutées.</w:t>
      </w:r>
    </w:p>
    <w:p>
      <w:r>
        <w:t>Devant les instances cantonales, le recourant a justifié cet intérêt par l' art. 11 al. 1 LCA , qui astreint l'assureur à remettre au preneur une police d'assurance constatant les droits et obligations des parties. Ce document a au premier chef une fonction d'information et de preuve ( ATF 112 II 245 consid. II/1c p. 253; FRANZ HASENBÖHLER, in Basler Kommentar, Bundesgesetz über den Versicherungsvertrag [VVG], 2001, nos 3 s. et 74 ad art. 11 LCA ). La doctrine admet qu'il peut valoir titre de créance dans des cas particuliers (HASENBÖHLER, op. cit., n° 77 ad art. 11 LCA ; PETER JÄGGI, Zürcher Kommentar, 1959, n° 292 ss ad art. 965 CO ). Cela n'implique pas automatiquement que le recourant puisse avoir un intérêt digne de protection à obtenir un tel document.</w:t>
      </w:r>
    </w:p>
    <w:p>
      <w:r>
        <w:t>Quoi qu'il en soit, cette question peut rester indécise. Un autre obstacle s'oppose en effet à l'admission de la demande.</w:t>
      </w:r>
    </w:p>
    <w:p>
      <w:r>
        <w:rPr>
          <w:b/>
        </w:rPr>
        <w:t>E. 3.1</w:t>
      </w:r>
    </w:p>
    <w:p>
      <w:r>
        <w:t>Les juges cantonaux ont considéré que la modification contractuelle litigieuse était imposée par la FINMA, dont la décision était entrée en force et ne pouvait plus être remise en cause du moment qu'elle n'était entachée d'aucun vice grave propre à entraîner sa nullité.</w:t>
      </w:r>
    </w:p>
    <w:p>
      <w:r>
        <w:rPr>
          <w:b/>
        </w:rPr>
        <w:t>E. 3.2</w:t>
      </w:r>
    </w:p>
    <w:p>
      <w:r>
        <w:t>Au préalable, il sied de relever que les juges vaudois ont vu là un motif d'irrecevabilité. En réalité, ils sont entrés en matière sur le fond en répondant par la négative à la question préjudicielle consistant à déterminer si la décision administrative était ou non entachée de vices graves.</w:t>
      </w:r>
    </w:p>
    <w:p>
      <w:r>
        <w:rPr>
          <w:b/>
        </w:rPr>
        <w:t>E. 3.3.1</w:t>
      </w:r>
    </w:p>
    <w:p>
      <w:r>
        <w:t>Le recourant plaide qu'il existe deux motifs de nullité. Il ne conteste pas l'analyse des juges vaudois selon laquelle ils ne pouvaient revoir la décision de la FINMA que dans l'hypothèse de vices graves entraînant la nullité. S'il affirme qu'aucune voie de droit administrative ne lui permettait de contester la décision de la FINMA, le recourant ne demande pas pour autant son annulation, mais uniquement le constat de sa nullité. Ces précisions étant faites, il sied d'examiner les motifs invoqués.</w:t>
      </w:r>
    </w:p>
    <w:p>
      <w:r>
        <w:rPr>
          <w:b/>
        </w:rPr>
        <w:t>E. 3.3.2</w:t>
      </w:r>
    </w:p>
    <w:p>
      <w:r>
        <w:t>Selon la jurisprudence, la nullité absolue ne frappe que les décisions affectées des vices les plus graves et pour autant que la constatation de la nullité ne mette pas sérieusement en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qu'exceptionnellement la nullité d'une décision. Entrent avant tout en considération comme motifs de nullité l'incompétence fonctionnelle et matérielle de l'autorité appelée à statuer, ainsi qu'une erreur manifeste de procédure, tel le fait de n'avoir pas eu l'occasion de participer à la procédure ( ATF 138 II 501 consid. 3.1; 138 III 49 consid. 4.4.3; 137 I 273 consid. 3.1).</w:t>
      </w:r>
    </w:p>
    <w:p>
      <w:r>
        <w:rPr>
          <w:b/>
        </w:rPr>
        <w:t>E. 3.3.3</w:t>
      </w:r>
    </w:p>
    <w:p>
      <w:r>
        <w:t>Le recourant invoque deux motifs de nullité: d'une part, la FINMA n'aurait pas la compétence de modifier le contenu des contrats d'assurance transférés à l'assureur reprenant; il s'agirait d'une «ingérence particulièrement importante aux droits des assurés en violation crasse et flagrante du principe de la légalité». L' art. 62 al. 2 LSA l'habiliterait tout au plus à réglementer les conditions du transfert de portefeuille, et non pas le contenu des contrats privés transférés. D'autre part, le droit de résiliation extraordinaire prévu par l' art. 62 al. 3 LSA serait réservé au transfert de portefeuille volontaire.</w:t>
      </w:r>
    </w:p>
    <w:p>
      <w:r>
        <w:t>Comme cela ressort de la jurisprudence précitée, toute violation de la loi ne constitue pas un vice grave entraînant la nullité de la décision. Il est patent que les deux griefs de fond soulevés par le recourant n'appartiennent pas à cette catégorie d'exception. La FINMA était bel et bien l'autorité compétente pour ordonner le transfert forcé de portefeuille. Se pose tout au plus la question de la marge de manoeuvre que lui confère l' art. 62 al. 2 LSA en énonçant que cette autorité « détermine les conditions» du transfert. Le recourant relève à juste titre que certains auteurs lui dénient la possibilité de modifier les contrats d'assurance (DEGLI UOMINI/GSCHWIND, in Basler Kommentar, Versicherungsaufsichtsgesetz, 2013, n° 65 ad art. 62 LSA ; lapidaires, WEBER/UMBACH, Versicherungsaufsichtsrecht, 2006, § 7 n. 6; ALEXANDER LACHER, Umstrukturierungen aus versicherungsaufsichts-rechtlicher Sicht, 2010, p. 8 n. 21 et, à propos du transfert volontaire [ art. 62 al. 1 LSA ], p. 181 n. 567). Si cette question mérite d'être discutée, il est exclu d'y voir un motif de nullité absolue, réservée à des vices graves et manifestes. La même constatation peut être faite s'agissant du droit de résiliation extraordinaire ( art. 62 al. 3 LSA ), dont divers auteurs, se fondant sur la lettre de la loi, considèrent qu'il ne prévaut qu'en cas de transfert volontaire (DEGLI UOMINI/GSCHWIND, op. cit., n° 66 ad art. 62 LSA ; LACHER, op. cit., p. 10 n. 28 s.; WEBER/UMBACH, op. cit., § 7 n. 6; THOMAS MATHIAS LUDESCHER, Das gebundene Vermögen gemäss Versicherungsaufsichtsgesetz [VAG], 2007, p. 193). Au passage, on relèvera un certain lien avec la problématique précédente, à savoir que si la modification des contrats d'assurance doit être reconnue, il paraît logique de l'assortir d'un droit de résiliation. Au demeurant, on ne saurait d'emblée exclure que l'assureur reprenant concède librement un droit de résiliation par hypothèse non prévu par la loi.</w:t>
      </w:r>
    </w:p>
    <w:p>
      <w:r>
        <w:t>En bref, l'autorité précédente n'a clairement pas enfreint le droit fédéral en considérant que la décision administrative entrée en force n'était pas entachée d'un motif de nullité.</w:t>
      </w:r>
    </w:p>
    <w:p>
      <w:r>
        <w:rPr>
          <w:b/>
        </w:rPr>
        <w:t>E. 4</w:t>
      </w:r>
    </w:p>
    <w:p>
      <w:r>
        <w:t>Le recourant ne soulève pas d'autres griefs à l'encontre des modifications apportées. Il n'y a dès lors pas à en discuter (cf. consid. 1.3 supra).</w:t>
      </w:r>
    </w:p>
    <w:p>
      <w:r>
        <w:t>Il s'ensuit le rejet du recours.</w:t>
      </w:r>
    </w:p>
    <w:p>
      <w:r>
        <w:t>Le recourant, qui succombe, supportera les frais judiciaires et versera à la compagnie d'assurance 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