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4A_679/2012 vom 1. Mai 2013</w:t>
      </w:r>
    </w:p>
    <w:p>
      <w:r>
        <w:t>Bundesgericht, 2013-05-01, FR</w:t>
      </w:r>
    </w:p>
    <w:p>
      <w:r>
        <w:rPr>
          <w:b/>
        </w:rPr>
        <w:t xml:space="preserve">Quelle: </w:t>
      </w:r>
      <w:r>
        <w:t>https://mcp.opencaselaw.ch/entscheid/bger_4A_679_2012</w:t>
      </w:r>
    </w:p>
    <w:p>
      <w:r>
        <w:t>FR: TF 4A_679/2012 du 1 mai 2013</w:t>
      </w:r>
    </w:p>
    <w:p>
      <w:r>
        <w:t>IT: TF 4A_679/2012 del 1 maggio 2013</w:t>
      </w:r>
    </w:p>
    <w:p>
      <w:pPr>
        <w:pStyle w:val="Heading2"/>
      </w:pPr>
      <w:r>
        <w:t>Erwägungen</w:t>
      </w:r>
    </w:p>
    <w:p>
      <w:r>
        <w:rPr>
          <w:b/>
        </w:rPr>
        <w:t>E. 1.1</w:t>
      </w:r>
    </w:p>
    <w:p>
      <w:r>
        <w:t>Interjeté par la partie qui a succombé dans ses conclusions en paiement et qui a donc qualité pour recourir ( art. 76 al. 1 LTF ), dirigé contre un jugement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recevable, puisqu'il a été déposé dans le délai (art. 48 al. 1 et 100 al. 1 LTF) et la forme ( art. 42 LTF ) prévus par la loi .</w:t>
      </w:r>
    </w:p>
    <w:p>
      <w:r>
        <w:rPr>
          <w:b/>
        </w:rPr>
        <w:t>E. 1.2</w:t>
      </w:r>
    </w:p>
    <w:p>
      <w:r>
        <w:t>Le recours peut être interjeté pour violation du droit, tel qu'il est délimité par les art. 95 et 96 LTF . Il peut donc aussi être formé pour violation d'un droit constitutionnel ( ATF 136 I 241 consid. 2.1 p. 247; 136 II 304 consid. 2.4 p. 313).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se plaint d'arbitraire dans l'appréciation des preuves et l'établissement des faits.</w:t>
      </w:r>
    </w:p>
    <w:p>
      <w:r>
        <w:t>Selon la jurisprudence, l'arbitraire, prohibé par l' art. 9 Cst. , ne résulte pas du seul fait qu'une autre solution pourrait entrer en considération ou même qu'elle serait préférable; le Tribunal fédéral n'intervient pour cause d'arbitraire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138 I 49 consid. 7.1 p. 51, 305 consid. 4.4 p. 319; 138 III 378 consid. 6.1 p. 379 s.; 138 IV 13 consid. 5.1 p. 22).</w:t>
      </w:r>
    </w:p>
    <w:p>
      <w:r>
        <w:t>S'agissant plus précisément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t>La partie recourante qui invoque l'arbitraire dans l'appréciation des preuves et l'établissement des faits doit démontrer par une argumentation précise, en se référant si possible à des pièces indiscutables du dossier, que la cour cantonale a retenu ou omis un fait pertinent d'une manière insoutenable ( ATF 137 I 58 consid. 4.1.2 p. 62; 134 II 244 consid. 2.2 p. 246).</w:t>
      </w:r>
    </w:p>
    <w:p>
      <w:r>
        <w:t>En l'espèce, la recourante fait valoir que la cour cantonale aurait établi les faits de manière arbitraire en constatant que B.________ avait acquis l'intégralité du capital-actions de la société recourante en achetant les actions d'un actionnaire minoritaire. En réalité, si on lit la phrase entièrement, la cour cantonale a constaté que B.________ avait acquis l'intégralité du capital-actions d'une part en achetant les actions de cet actionnaire minoritaire et, d'autre part, en acquérant les actions du deuxième intimé dans le cadre de la faillite de celui-ci. On ne voit aucune trace d'arbitraire dans cette constatation.</w:t>
      </w:r>
    </w:p>
    <w:p>
      <w:r>
        <w:t>La recourante reproche à la cour cantonale d'avoir arbitrairement omis de constater que le contrat conclu entre l'intimée et la société créée par son frère était antidaté. En tant que partie demanderesse, il incombait à la recourante, en vertu de l' art. 8 CC , de prouver les faits permettant de constater l'existence de son droit à remboursement. On ne voit pas en quoi la date du contrat passé entre l'intimée et la société de son frère pourrait influer sur cette question. Il n'y a donc pas lieu d'entrer en matière, la question soulevée étant impropre à remettre en cause la décision attaquée ( art. 97 al. 1 LTF ).</w:t>
      </w:r>
    </w:p>
    <w:p>
      <w:r>
        <w:t>La recourante reproche à la cour cantonale d'être tombée dans l'arbitraire en ne constatant pas que le délai de résiliation de son bail à ferme n'avait pas été respecté. Hormis qu'elle semble plutôt soulever une question de droit, il faut observer qu'elle ne conteste pas avoir cessé d'exploiter la vigne à fin 2003. Elle ne prétend pas qu'elle croyait qu'elle pourrait continuer de l'exploiter en 2004, de sorte que la réponse à cette question ne peut influer sur le sort de la cause ( art. 97 al. 1 LTF ).</w:t>
      </w:r>
    </w:p>
    <w:p>
      <w:r>
        <w:t>La recourante soutient que la cour cantonale a commis l'arbitraire en ne constatant pas que l'intimée était représentée par son frère (le deuxième intimé). La cour cantonale a constaté - sans que l'arbitraire ne soit invoqué à ce sujet - que le frère de l'intimée, à l'époque, représentait seul la société recourante. Il intervenait donc à l'égard de l'intimée en tant que représentant de la recourante. Cette dernière voudrait faire admettre qu'il était plutôt le représentant de sa soeur, mais cette conception est insoutenable, puisque l'on ne voit pas qui, alors, dans les relations contractuelles, aurait représenté la recourante. L'argumentation présentée est donc impropre à démontrer l'arbitraire.</w:t>
      </w:r>
    </w:p>
    <w:p>
      <w:r>
        <w:t>Dans la mesure où la recourante critique l'appréciation des preuves comme si elle plaidait devant une cour d'appel, il n'y a pas lieu d'entrer en matière, puisqu'elle devait démontrer l'arbitraire par une argumentation précise (cf. supra consid. 1.3). Lorsqu'elle introduit des faits qui ne sont pas constatés dans la décision attaquée ou substitue purement et simplement sa propre version des faits sans se prévaloir avec précision d'une exception prévue par l' art. 105 al. 2 LTF , il n'y a pas lieu d'en tenir compte.</w:t>
      </w:r>
    </w:p>
    <w:p>
      <w:r>
        <w:t>Le raisonnement juridique doit donc être conduit sur la base de l'état de fait contenu dans la décision attaquée, dont on ne voit pas qu'il ait été établi arbitrairement ( art. 105 al. 1 et 2 LTF ).</w:t>
      </w:r>
    </w:p>
    <w:p>
      <w:r>
        <w:rPr>
          <w:b/>
        </w:rPr>
        <w:t>E. 2.2</w:t>
      </w:r>
    </w:p>
    <w:p>
      <w:r>
        <w:t>Des constatations cantonales, il résulte, en procédant à une qualification juridique, que la recourante a conclu oralement avec l'intimée un contrat de bail à ferme agricole régi par la loi fédérale sur le bail à ferme agricole (LBFA; RS 221.213.2).</w:t>
      </w:r>
    </w:p>
    <w:p>
      <w:r>
        <w:rPr>
          <w:b/>
        </w:rPr>
        <w:t>E. 2.3</w:t>
      </w:r>
    </w:p>
    <w:p>
      <w:r>
        <w:t>Selon l' art. 22 al. 1 LBFA , le bailleur est tenu d'exécuter à ses frais les grosses réparations nécessaires pendant la durée du bail, dès que le fermier lui en a signalé la nécessité. Il résulte clairement de cette formulation que les travaux doivent être nécessaires pour maintenir la chose affermée dans un état conforme au contrat. L' art. 22 al. 2 LBFA ajoute que le fermier a le droit d'exécuter lui-même les grosses réparations nécessaires, lorsque le bailleur, dûment avisé, ne les a pas entreprises dans un délai convenable et qu'il n'a pas contesté son obligation à cet égard; le fermier peut alors en demander l'indemnisation au plus tard à la fin du bail. Cette réglementation, comme le montre son texte clair, ne concerne à nouveau que les réparations nécessaires.</w:t>
      </w:r>
    </w:p>
    <w:p>
      <w:r>
        <w:t>En l'espèce, il a été établi - sans que l'arbitraire ne soit démontré - que la recourante a décidé de changer les cépages, alors que les vignes n'étaient ni épuisées ni malades, dans son propre intérêt, le montant du fermage, pour ce qui est de l'intérêt de la propriétaire, ne changeant pas. Dans ces circonstances - dont la constatation lie le Tribunal fédéral ( art. 105 al. 1 LTF ) -, on ne voit pas que les travaux entrepris par la recourante puissent être qualifiés de travaux nécessaires pour maintenir la vigne dans un état conforme au contrat conclu. En rejetant la prétention de la recourante fondée sur l' art. 22 LBFA , la cour cantonale n'a pas violé le droit fédéral.</w:t>
      </w:r>
    </w:p>
    <w:p>
      <w:r>
        <w:rPr>
          <w:b/>
        </w:rPr>
        <w:t>E. 2.4</w:t>
      </w:r>
    </w:p>
    <w:p>
      <w:r>
        <w:t>Quant à une indemnité fondée sur l'idée que la recourante a apporté une plus-value, l' art. 23 al. 2 LBFA prévoit que, sauf convention contraire, le fermier peut demander, à la fin du bail, une indemnité équitable pour les améliorations qu'il a apportées à la chose affermée avec l'accord du bailleur. Une telle indemnité suppose donc que le bailleur ait donné son accord aux améliorations apportées par le fermier.</w:t>
      </w:r>
    </w:p>
    <w:p>
      <w:r>
        <w:t>En l'espèce, la cour cantonale a constaté que la demanderesse - qui a le fardeau de la preuve ( art. 8 CC ) - n'est pas parvenue à prouver que la propriétaire ait donné son accord. La recourante n'a pas démontré devant le Tribunal fédéral qu'elle aurait apporté cette preuve durant la procédure cantonale. En conséquence, l'appréciation des preuves ne saurait être qualifiée d'arbitraire. Dès lors qu'un accord n'a pas été établi, une indemnité fondée sur l' art. 23 al. 2 LBFA est d'emblée exclue.</w:t>
      </w:r>
    </w:p>
    <w:p>
      <w:r>
        <w:rPr>
          <w:b/>
        </w:rPr>
        <w:t>E. 2.5</w:t>
      </w:r>
    </w:p>
    <w:p>
      <w:r>
        <w:t>La cour cantonale s'est demandée si la recourante pouvait fonder sa prétention sur la gestion d'affaires ( art. 419 ss CO ).</w:t>
      </w:r>
    </w:p>
    <w:p>
      <w:r>
        <w:t>Il ressort des faits constatés - qui lient le Tribunal fédéral ( art. 105 al. 1 LTF ) - que la recourante, considérée en tant que gérant d'affaires, n'a pas agi dans un esprit altruiste, de manière désintéressée, mais bien aussi dans son propre intérêt (cf. ANNE HÉRITIER LACHAT, in Commentaire romand, Code des obligations I, 2e éd. 2012, n°s 4 et 5 de l'introduction aux art. 419 à 424 CO). Il faut donc appliquer l' art. 423 al. 2 CO qui prévoit que le maître n'est tenu d'indemniser le gérant que jusqu'à concurrence de son enrichissement. La jurisprudence a admis que cette action en indemnisation se prescrivait de la même manière que l'action pour enrichissement illégitime, c'est-à-dire selon l' art. 67 CO ( ATF 86 II 18 consid. 7 p. 26).</w:t>
      </w:r>
    </w:p>
    <w:p>
      <w:r>
        <w:t>La cour cantonale a aussi envisagé que la recourante puisse fonder sa prétention sur un enrichissement lié à une construction sur fonds d'autrui en vertu de l' art. 672 al. 1 CC . Il a cependant également été jugé qu'une telle action se prescrit en appliquant par analogie le délai prévu pour un acte illicite ou un enrichissement illégitime, c'est-à-dire le délai d'un an ( ATF 81 II 431 consid. 3 p. 437).</w:t>
      </w:r>
    </w:p>
    <w:p>
      <w:r>
        <w:t>Toute action fondée sur l'enrichissement illégitime ( art. 62 CO ), en particulier l'action en répétition de l'indu pour les fermages versés (cf. art. 63 CO ) - qui ne semble plus en cause - ou l'action fondée sur une gestion d'affaires altruiste irrégulière (cf. HÉRITIER LACHAT, op. cit., n° 22 ad art. 423 CO ) se heurte également à la prescription prévue par l' art. 67 al. 1 CO .</w:t>
      </w:r>
    </w:p>
    <w:p>
      <w:r>
        <w:rPr>
          <w:b/>
        </w:rPr>
        <w:t>E. 2.6</w:t>
      </w:r>
    </w:p>
    <w:p>
      <w:r>
        <w:t>Quel que soit le fondement juridique envisagé, il faut donc déterminer si l'action formée par la recourante respecte ou non le délai de prescription annal prévu par l' art. 67 al. 1 CO .</w:t>
      </w:r>
    </w:p>
    <w:p>
      <w:r>
        <w:t>Il doit être rappelé que la recourante est une personne morale qui subsiste même si ses membres ou ses organes dirigeants changent. L' art. 55 CC dispose que la volonté de la personne morale s'exprime par ses organes et que ceux-ci l'obligent par leurs actes juridiques et par tous autres faits, ce qui revient à dire que la volonté exprimée par le ou les organes compétents de la personne morale, agissant en cette qualité, est opposable à la personne morale elle-même; or, s'il en est ainsi de la manifestation de volonté, on ne voit pas de raison pour qu'il n'en soit pas de même de la connaissance que l'organe pourrait avoir de tel ou tel fait; la connaissance de l'organe est opposable à la personne morale elle-même ( ATF 56 II 183 consid. 2 p. 187 s.).</w:t>
      </w:r>
    </w:p>
    <w:p>
      <w:r>
        <w:t>Il résulte des constatations cantonales - qui lient le Tribunal fédéral ( art. 105 al. 1 LTF ) - que le frère de l'intimée, au moment du remplacement de cépages, avait qualité pour représenter seul la société recourante. Il a décidé le changement de cépage; il connaissait nécessairement, de façon immédiate, le résultat des vendanges, l'importance des travaux entrepris et pouvait aisément en déterminer le coût. Dès lors qu'il était organe de la société anonyme, sa connaissance des faits est opposable à celle-ci. La recourante ne prétend pas qu'elle aurait ignoré, à fin 2003, que l'intimée entendait mettre fin au fermage. En conséquence, elle disposait, dès le début de l'année 2004, de toutes les informations nécessaires pour l'introduction d'une action en justice. Que la société ait changé de mains et nommé un nouveau conseil d'administration n'y change rien. A l'égard des tiers comme l'intimée, il faut s'en tenir à la constatation que la société connaissait les faits plus d'une année avant la citation en conciliation, de sorte que toute action soumise au délai de l' art. 67 al. 1 CO est prescrite.</w:t>
      </w:r>
    </w:p>
    <w:p>
      <w:r>
        <w:t>La cour cantonale n'a dès lors pas transgressé le droit fédéral.</w:t>
      </w:r>
    </w:p>
    <w:p>
      <w:r>
        <w:rPr>
          <w:b/>
        </w:rPr>
        <w:t>E. 3</w:t>
      </w:r>
    </w:p>
    <w:p>
      <w:r>
        <w:t>Il résulte des considérations qui précèdent que le recours doit être rejeté.</w:t>
      </w:r>
    </w:p>
    <w:p>
      <w:r>
        <w:t>Les frais judiciaires et les dépens sont mis à la charge de la recourante qui succombe (art. 66 al. 1 et 68 al. 1 et 2 LTF).</w:t>
      </w:r>
    </w:p>
    <w:p>
      <w:r>
        <w:t>Le deuxième intimé est un participant accessoire. L' art. 68 LTF ne prévoit pas l'octroi de dépens à un participant accessoire. En vertu du renvoi de l' art. 71 LTF , il faut donc appliquer l' art. 69 al. 2 PCF , dont il résulte que la question est laissée à la libre appréciation du Tribunal fédéral. Selon la jurisprudence, il n'est en principe pas alloué de dépens à un participant accessoire qui - comme c'est le cas en l'espèce - a été introduit dans la procédure par la partie victorieuse et dans le seul but qu'il soutienne ses conclusions ( ATF 109 II 144 consid. 4 p. 152). Il n'y a pas lieu de s'écarter de cette pratique.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