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4A_677/2014 vom 1. April 2015</w:t>
      </w:r>
    </w:p>
    <w:p>
      <w:r>
        <w:t>Bundesgericht, 2015-04-01, DE</w:t>
      </w:r>
    </w:p>
    <w:p>
      <w:r>
        <w:rPr>
          <w:b/>
        </w:rPr>
        <w:t xml:space="preserve">Quelle: </w:t>
      </w:r>
      <w:r>
        <w:t>https://mcp.opencaselaw.ch/entscheid/bger_4A_677_2014</w:t>
      </w:r>
    </w:p>
    <w:p>
      <w:r>
        <w:t>FR: TF 4A_677/2014 du 1 avril 2015</w:t>
      </w:r>
    </w:p>
    <w:p>
      <w:r>
        <w:t>IT: TF 4A_677/2014 del 1 aprile 2015</w:t>
      </w:r>
    </w:p>
    <w:p>
      <w:pPr>
        <w:pStyle w:val="Heading2"/>
      </w:pPr>
      <w:r>
        <w:t>Erwägungen</w:t>
      </w:r>
    </w:p>
    <w:p>
      <w:r>
        <w:rPr>
          <w:b/>
        </w:rPr>
        <w:t>E. 1</w:t>
      </w:r>
    </w:p>
    <w:p>
      <w:r>
        <w:t>Angefochten ist ein von einer letzten kantonalen Instanz im Sinne von Art. 75 Abs. 1 und 2 BGG ergangener Endentscheid ( Art. 90 BGG ) in einer vermögensrechtlichen Angelegenheit mit einem Fr. 30'000.-- übersteigenden Streitwert ( Art. 74 Abs. 1 lit. b BGG ), gegen den die Beschwerde in Zivilsachen grundsätzlich zulässig ist.</w:t>
      </w:r>
    </w:p>
    <w:p>
      <w:r>
        <w:t>Auf die subsidiäre Verfassungsbeschwerde ist demnach nicht einzutreten ( Art. 113 BGG ).</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je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264 E. 2.3 S. 266; 139 III 334 E. 3.2.5 S. 339; 138 IV 13 E. 5.1 S. 22 ; 131 I 57 E. 2, 467 E. 3.1). Die Beweiswürdigung ist mithin nicht schon dann willkürlich, wenn sie nicht mit der Darstellung der beschwerdeführenden Partei übereinstimmt, sondern bloss, wenn sie offensichtlich unhaltbar ist ( BGE 140 III 267 E. 2.3 S. 266;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140 III 267 E. 2.3 S. 266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2.3</w:t>
      </w:r>
    </w:p>
    <w:p>
      <w:r>
        <w:t>Wie nachfolgend aufzuzeigen ist, genügt die vorliegende Beschwerde diesen Anforderungen grösstenteils nicht.</w:t>
      </w:r>
    </w:p>
    <w:p>
      <w:r>
        <w:rPr>
          <w:b/>
        </w:rPr>
        <w:t>E. 3</w:t>
      </w:r>
    </w:p>
    <w:p>
      <w:r>
        <w:t>Im vorinstanzlichen Verfahren war strittig, ob eine mündliche Einigung im Hinblick auf den Kauf der Aktien der A.A.________ AG durch den Beschwerdegegner erzielt wurde.</w:t>
      </w:r>
    </w:p>
    <w:p>
      <w:r>
        <w:rPr>
          <w:b/>
        </w:rPr>
        <w:t>E. 3.1</w:t>
      </w:r>
    </w:p>
    <w:p>
      <w:r>
        <w:t>Der Bestand eines Vertrags ist wie dessen Inhalt durch Auslegung zu bestimmen. Ziel der Vertragsauslegung ist es, in erster Linie den übereinstimmenden wirklichen Parteiwillen festzustellen ( Art. 18 Abs. 1 OR ). Diese subjektive Vertragsauslegung beruht auf Beweiswürdigung, die vor Bundesgericht nur unter den Voraussetzungen von Art. 97 Abs. 1 BGG (Erwägung 2.2 vorne) gerügt werden kann ( BGE 135 III 410 E. 3.2 S. 412 f.; vgl. dazu auch BGE 140 III 86 E. 4.1 S. 90 f.; 138 III 659 E. 4.2.1 S. 666 f.).</w:t>
      </w:r>
    </w:p>
    <w:p>
      <w:r>
        <w:t>Die Vorinstanz kam aufgrund einer einlässlichen Beweiswürdigung zum Schluss, dass zwischen den Parteien in Bezug auf den Aktienkauf ein tatsächlicher Konsens im genannten Sinn zustande gekommen ist. Dabei berücksichtigte sie unter anderem die Zeugenaussagen des bei den streitbetroffenen Geschäften mitwirkenden Notars C.________ und des Buchhalters der A.A.________ AG, Herr D.________, sowie den Aktienkaufvorvertrag. Sie stimmte der Erstinstanz zu, dass der Liegenschaftskauf ohne den Aktienkauf nicht stattgefunden hätte. Wäre dem nicht so, wäre das Motiv, die Liegenschaft zum amtlichen Wert zu verkaufen, nicht nachvollziehbar. Anders wäre auch nicht zu erklären, weshalb sich der Beschwerdegegner nach dem Verkauf der Liegenschaft faktisch weiterhin wie der Eigentümer der Liegenschaft verhalten und der Beschwerdeführer dies geduldet habe.</w:t>
      </w:r>
    </w:p>
    <w:p>
      <w:r>
        <w:rPr>
          <w:b/>
        </w:rPr>
        <w:t>E. 3.2</w:t>
      </w:r>
    </w:p>
    <w:p>
      <w:r>
        <w:t>Was der Beschwerdeführer gegen die vorinstanzliche Feststellung eines tatsächlichen Konsenses vorbringt, vermag den vorstehend genannten Begründungsanforderungen nicht zu genügen.</w:t>
      </w:r>
    </w:p>
    <w:p>
      <w:r>
        <w:t>Er rügt zunächst, die Vorinstanz habe den Anspruch auf rechtliches Gehör verletzt, indem sie sich mit den Ausführungen in der Klageantwort, insbesondere betreffend der Kaufpreishöhe, nicht einmal ansatzweise auseinandergesetzt habe; massgebend bei der ganzen Auseinandersetzung sei jedoch, dass der Verkehrswert der Liegenschaft bei der Preisfestlegung nicht eingeflossen sei. Der Beschwerdeführer legt damit indessen nicht rechtsgenügend dar und es ist auch nicht ersichtlich, dass und inwiefern seine Ausführungen, mit denen sich die Vorinstanz nicht auseinandergesetzt habe, im vorinstanzlichen Verfahren prozessrechtkonform eingebracht worden sein und entscheidwesentliche Gesichtspunkte betreffen sollen, so dass die Vorinstanz darauf hätte eingehen müssen (vgl. dazu BGE 136 I 184 E. 2.2.1 S. 188). Auf die Rüge ist mangels hinreichender Begründung nicht einzutreten.</w:t>
      </w:r>
    </w:p>
    <w:p>
      <w:r>
        <w:t>Wenn der Beschwerdeführer weiter sinngemäss dafür hält, die Vorinstanz hätte den Aussagen des Notars C.________ und des Buchhalters D.________ keinen Glauben schenken dürfen bzw. nicht darauf abstellen dürfen, weil die Zeugen ein Interesse am Prozessausgang hätten, ohne jedoch hinreichend aufzuzeigen, inwiefern die Berücksichtigung dieser Aussagen geradezu willkürlich sein und zu einem offensichtlich unhaltbaren Beweisergebnis führen soll, kann darauf nicht eingetreten werden.</w:t>
      </w:r>
    </w:p>
    <w:p>
      <w:r>
        <w:t>Soweit der Beschwerdeführer sodann vorbringt, er habe den Aktienkaufvertrag mangels Einigung über wesentliche Vertragspunkte, insbesondere den "Rückkaufpreis", nicht unterzeichnet, stellt er bloss seine eigenen Behauptungen der Überzeugung der Vorinstanz gegenüber, wonach der Vertrag zur Vermeidung von Steuerfolgen nicht unterzeichnet worden und der Kaufpreis aufgrund des Kaufvertragsentwurfs und der abgemachten Modalitäten bestimmbar gewesen sei. Eine hinreichend begründete Willkürrüge gegen die vorinstanzliche Beweiswürdigung erhebt er auch insoweit nicht.</w:t>
      </w:r>
    </w:p>
    <w:p>
      <w:r>
        <w:rPr>
          <w:b/>
        </w:rPr>
        <w:t>E. 4</w:t>
      </w:r>
    </w:p>
    <w:p>
      <w:r>
        <w:t>Die Vorinstanz verwarf nach einlässlicher Prüfung die Auffassung des Beschwerdeführers, der Aktienkaufvertrag sei ungültig, weil er der Form der öffentlichen Beurkundung bedurft hätte.</w:t>
      </w:r>
    </w:p>
    <w:p>
      <w:r>
        <w:t>Die Rüge des Beschwerdeführers, die Vorinstanz habe den Gehörsanspruch verletzt, weil es den entscheiderheblichen Punkt der Notwendigkeit einer öffentlichen Beurkundung nicht abgeklärt habe, ist offensichtlich unbegründet.</w:t>
      </w:r>
    </w:p>
    <w:p>
      <w:r>
        <w:t>Der Beschwerdeführer begründet im weiteren auch nicht unter hinreichender Auseinandersetzung mit den Erwägungen der Vorinstanz, inwiefern diese Bundesrecht verletzt haben soll, indem sie eine Beurkundungspflicht verneinte, sondern behauptet bloss pauschal, die Vorinstanz habe die bundesgerichtliche Praxis dazu nicht beachtet. Auch die selbständige Zusatzbegründung der Vorinstanz, die Berufung auf den Formmangel sei rechtsmissbräuchlich, ficht der Beschwerdeführer nicht mit rechtsgenügender Begründung an, indem er bloss seinerseits geltend macht, das Verhalten des Beschwerdegegners sei rechtsmissbräuchlich, weil er im Vertrauen darauf Verpflichtungen eingegangen sei, dass ihm dies nicht zum Nachteil gereiche. Auf die Beschwerde kann auch in diesem Punkt nicht eingetreten werden.</w:t>
      </w:r>
    </w:p>
    <w:p>
      <w:r>
        <w:rPr>
          <w:b/>
        </w:rPr>
        <w:t>E. 5</w:t>
      </w:r>
    </w:p>
    <w:p>
      <w:r>
        <w:t>Auf die subsidiäre Verfassungsbeschwerde ist demnach nicht einzutreten. Die Beschwerde in Zivilsachen ist abzuweisen, soweit darauf einzutreten ist. Bei diesem Ausgang des Verfahrens wird der Beschwerdeführer kosten- und entschädigungspflichtig ( Art. 66 Abs. 1 und Art. 68 Abs. 2 BGG ). Dessen Gesuch um Gewährung der unentgeltlichen Rechtspflege für das bundesgerichtliche Verfahren kann nicht entsprochen werden, da die Beschwerde nach dem Ausgeführten von vornherein als aussichtslos erscheint ( Art. 64 Abs. 1 BGG ; BGE 139 III 475 E. 2.2; 138 III 217 E. 2.2.4 mit Hinweisen). Dem geringen Aufwand für das vorliegende Verfahren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