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4A_676/2015 vom 4. Mai 2016</w:t>
      </w:r>
    </w:p>
    <w:p>
      <w:r>
        <w:t>Bundesgericht, 2016-05-04, DE</w:t>
      </w:r>
    </w:p>
    <w:p>
      <w:r>
        <w:rPr>
          <w:b/>
        </w:rPr>
        <w:t xml:space="preserve">Quelle: </w:t>
      </w:r>
      <w:r>
        <w:t>https://mcp.opencaselaw.ch/entscheid/bger_4A_676_2015</w:t>
      </w:r>
    </w:p>
    <w:p>
      <w:r>
        <w:t>FR: TF 4A_676/2015 du 4 mai 2016</w:t>
      </w:r>
    </w:p>
    <w:p>
      <w:r>
        <w:t>IT: TF 4A_676/2015 del 4 maggio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Angefochten ist ein Endentscheid einer letzten kantonalen Instanz (Art. 75 Abs. 1 und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Auf das Verfahren vor der Vorinstanz fand noch die nunmehr aufgehobene Zivilprozessordnung des Kantons Zürich vom 13. Juni 1976 (aZPO/ZH) Anwendung (vgl. Art. 404 Abs. 1 der Schweizerischen Zivilprozessordnung [ZPO; SR 272]), was die Parteien zu Recht nicht in Frage stellen (Urteile 4A_327/2013 vom 13. November 2013 E. 1.2; 4A_258/2012 vom 8. April 2013 E. 2.1; 4A_641/2011 vom 27. Januar 2012 E. 2.2). Soweit die Verletzung von Normen des kantonalen Zivilprozessrechts gerügt wird, ist darzutun, dass dabei gleichzeitig ein Verstoss gegen Bundes- bzw. Bundesverfassungsrecht vorliegt.</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f. mit Hinweisen).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1.5</w:t>
      </w:r>
    </w:p>
    <w:p>
      <w:r>
        <w:t>Die Beschwerdeführerin verkennt diese Grundsätze, wenn sie dem Bundesgericht unter Hinweis auf verschiedene Akten des kantonalen Verfahrens und teilweise losgelöst von den Sachverhaltsfeststellungen der Vorinstanz ihren Standpunkt unterbreitet, wonach die Klage abzuweisen sei, als ob das Bundesgericht die Streitsache von Grund auf neu beurteilen könnte. So stützt sie sich etwa auf angeblich von der Beschwerdegegnerin in der Replik vom 27. April 2008 aufgestellte Behauptungen und bringt vor, C.________, Mitarbeiter der Beschwerdegegnerin, habe ihrem Vertreter D.________ ausdrücklich zugesagt, die Angelegenheit in Ordnung zu bringen und ihn auf dem Laufenden zu halten, was im vorinstanzlichen Verfahren unbestritten geblieben sei. Gestützt darauf behauptet sie, die Beschwerdegegnerin habe ihr das Obsiegen im Zollbeschwerdeverfahren zugesagt. Zudem bringt sie unter Berufung auf ihre Eingaben im kantonalen Verfahren vom 19. September 2013 und 25. Oktober 2015 vor, die Beschwerdegegnerin habe ihr gegenüber den abschlägigen Entscheid über das Zollbeschwerdeverfahren verheimlicht, diese habe die von der Zollstelle einverlangte Korrekturversion falsch bzw. verspätet eingereicht, keine Rechtsbegehren gestellt und Tarifnummern falsch angegeben. Damit weicht sie von den Sachverhaltsfeststellungen im angefochtenen Entscheid ab oder erweitert diese, ohne hinreichende Sachverhaltsrügen zu erheben. Sie wirft der Vorinstanz mitunter zwar unter Berufung auf Art. 53 Abs. 1 ZPO und Art. 6 Ziff. 1 EMRK eine Verletzung der Begründungspflicht vor, legt jedoch in keiner Weise dar, inwiefern ihr die Begründung des angefochtenen Entscheids verunmöglicht hätte, diesen sachgerecht anzufechten (vgl. BGE 140 II 262 E. 6.2 S. 274 ; 136 I 184 E. 2.2.1 S. 188 ; 134 I 83 E. 4.1 S. 88; je mit Hinweisen). Auch mit ihrer Kritik an den vorinstanzlichen Erwägungen zur Glaubwürdigkeit des Zeugen E.________ zeigt die Beschwerdeführerin keine Bundesrechtsverletzung auf. Die entsprechenden Ausführungen haben unbeachtet zu bleiben.</w:t>
      </w:r>
    </w:p>
    <w:p>
      <w:r>
        <w:t>Die Beschwerdeführerin äussert sich im Übrigen ausführlich zur Bindungswirkung des Rückweisungsentscheids, legt jedoch nicht dar, inwiefern der Vorinstanz eine Missachtung der aufgeführten Grundsätze vorzuwerfen wäre.</w:t>
      </w:r>
    </w:p>
    <w:p>
      <w:r>
        <w:rPr>
          <w:b/>
        </w:rPr>
        <w:t>E. 2</w:t>
      </w:r>
    </w:p>
    <w:p>
      <w:r>
        <w:t>Die Beschwerdeführerin wirft der Vorinstanz eine Verletzung des rechtlichen Gehörs ( Art. 53 Abs. 1 ZPO , Art. 29 Abs. 2 BV und Art. 6 Ziff. 1 EMRK ) vor.</w:t>
      </w:r>
    </w:p>
    <w:p>
      <w:r>
        <w:rPr>
          <w:b/>
        </w:rPr>
        <w:t>E. 2.1</w:t>
      </w:r>
    </w:p>
    <w:p>
      <w:r>
        <w:t>Der Anspruch auf rechtliches Gehör ( Art. 29 Abs. 2 BV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 vgl. auch BGE 140 II 262 E. 6.2 S. 274).</w:t>
      </w:r>
    </w:p>
    <w:p>
      <w:r>
        <w:rPr>
          <w:b/>
        </w:rPr>
        <w:t>E. 2.2</w:t>
      </w:r>
    </w:p>
    <w:p>
      <w:r>
        <w:t>Die Beschwerdeführerin bringt vor, gemäss Erwägung 6 des angefochtenen Entscheids sei ein bestmögliches nachträgliches Splitting "aus verschiedenen Gründen" nicht in Frage gekommen. Sie rügt zu Unrecht, diese Begründung sei ungenügend und verletze ihren Anspruch auf rechtliches Gehör, da sie nicht nachvollziehbar sei. Die Beschwerdeführerin verkennt, dass es sich bei der von ihr zitierten Stelle im angefochtenen Entscheid unter "6. Fazit" lediglich um eine kurze Zusammenfassung der vorangehenden Erwägungen handelt. Darin begründet die Vorinstanz unter dem Titel "5.2.9. Etwaiges Beschwerdeverfahren in Bezug auf die im massgebenden Zeitpunkt tatsächlich verfügbaren Kontingente" ausführlich, weshalb ein nachträgliches bestmögliches Splitting im konkreten Fall nicht möglich und das entsprechende Beschwerdeverfahren von vornherein aussichtslos war.</w:t>
      </w:r>
    </w:p>
    <w:p>
      <w:r>
        <w:t>Entgegen der in der Beschwerde vertretenen Ansicht genügt die Begründung des angefochtenen Urteils den verfassungsrechtlichen Anforderungen.</w:t>
      </w:r>
    </w:p>
    <w:p>
      <w:r>
        <w:rPr>
          <w:b/>
        </w:rPr>
        <w:t>E. 3</w:t>
      </w:r>
    </w:p>
    <w:p>
      <w:r>
        <w:t>Die Beschwerdeführerin stellt sich auf den Standpunkt, ein Splitting sei auch nachträglich möglich gewesen und rügt sinngemäss eine unzutreffende Anwendung von Art. 34 des Zollgesetzes vom 18. März 2005 (ZG; SR 631.0) wie auch der Zollverordnung vom 1. November 2006 (ZV; SR 631.01).</w:t>
      </w:r>
    </w:p>
    <w:p>
      <w:r>
        <w:rPr>
          <w:b/>
        </w:rPr>
        <w:t>E. 3.1</w:t>
      </w:r>
    </w:p>
    <w:p>
      <w:r>
        <w:t>Sie bringt vor, das Zollgesetz und die Zollverordnung gewährten bei Irrtum des Zolldeklaranten ausdrücklich die Möglichkeit einer Korrektur. Diese auf Gesetzes- und Verordnungsstufe klare Regel hätte die Vorinstanz anwenden bzw. nachweisen müssen, wo der erwähnte Umgehungstatbestand seine rechtliche Grundlage habe. Grundlogik des Zollrechts sei, dass der Bürger die Ware anzumelden habe ( Art. 18 Abs. 1 ZG ), was mit der Zuführungspflicht ( Art. 21 ZG ) und der Gestellungspflicht ( Art. 24 ZG ) verbunden sei; schliesslich sei die Anmeldepflicht zu erfüllen ( Art. 26-28 ZG ), wobei die Anmeldung wie vorliegend auch elektronisch möglich sei ( Art. 28 Abs. 1 ZG ).</w:t>
      </w:r>
    </w:p>
    <w:p>
      <w:r>
        <w:t>Zudem seien die Strafbestimmungen in Art. 117-129 ZG geregelt. Ihnen sei eigen, dass mit einer falschen Deklaration eine Abgabenverkürzung einhergehe oder drohe. Die Sanktionen reichten bis zu einem Mehrfachen des Abgabebetrags. Die Vorinstanz übersehe, dass der Totalverlust gültiger Kontingente als Folge einer falschen Eingabe eine Strafe darstellen würde, für die stets eine gesetzliche Grundlage im formellen Sinn gefordert sei; Strafnormen auf Verordnungsstufe seien nur beschränkt zulässig. Weder das Zollgesetz noch die Zollverordnung sähen jedoch eine Regelung vor, wonach als Strafe für eine falsche elektronische Eingabe die Kontingente "unrettbar verfallen".</w:t>
      </w:r>
    </w:p>
    <w:p>
      <w:r>
        <w:rPr>
          <w:b/>
        </w:rPr>
        <w:t>E. 3.2</w:t>
      </w:r>
    </w:p>
    <w:p>
      <w:r>
        <w:t>Mit der Annahme durch die Zollstelle wird die Zollanmeldung nach Art. 33 ZG verbindlich und damit grundsätzlich unabänderlich (PATRICK RAEDERSDORF, in: Martin Kocher/Diego Clavadetscher [Hrsg.], Zollgesetz [ZG], 2009, N. 1 zu Art. 34 ZG ). Berichtigungen der Zollanmeldung sind nur eingeschränkt zulässig ( Art. 34 ZG ). Dies gilt nach Art. 34 Abs. 3 und 4 ZG insbesondere, wenn die Waren den Gewahrsam der Zollverwaltung verlassen haben, wie dies im konkreten Fall zutrifft. Nach Art. 34 Abs. 4 lit. a ZG gibt die Zollstelle dem Gesuch um Änderung der Veranlagung unter anderem statt, wenn die anmeldepflichtige Person nachweist, dass die Waren irrtümlich zu dem in der Zollanmeldung genannten Zollverfahren angemeldet worden sind. Zudem ist eine Berichtigung möglich, wenn die Voraussetzungen für die beantragte neue Veranlagung schon erfüllt waren, als die Zollanmeldung angenommen wurde, und die Waren seither nicht verändert worden sind ( Art. 34 Abs. 4 lit. b ZG ). Nach Art. 88 ZV kann ein Irrtum geltend gemacht werden, wenn der Irrtum zum Zeitpunkt der ursprünglichen Zollanmeldung auf Grund der damaligen Begleitdokumente hätte erkannt werden können (lit. a) oder die für das neue Zollverfahren notwendigen Bewilligungen bereits erteilt waren (lit. b). Ausserdem gelten die Voraussetzungen für eine neue Veranlagung als erfüllt, wenn zum Zeitpunkt der ursprünglichen Zollanmeldung die materiellen und die formellen Voraussetzungen für die Gewährung einer Zollermässigung, einer Zollbefreiung oder einer Rückerstattung erfüllt waren ( Art. 89 lit. a ZV ). Gemäss Botschaft zum Zollgesetz wird der Zollverwaltung durch Art. 34 Abs. 3 ZG ein gewisser Ermessensspielraum eingeräumt, um Fehler von Zollbeteiligten nachträglich in einer mit der Zollsicherheit vereinbaren Weise korrigieren zu können (Botschaft vom 15. Dezember 2003 über ein neues Zollgesetz, BBl 2004 618).</w:t>
      </w:r>
    </w:p>
    <w:p>
      <w:r>
        <w:t>Inwiefern diese Voraussetzungen im konkreten Fall erfüllt gewesen wären, zeigt die Beschwerdeführerin mit ihren Ausführungen nicht auf. Insbesondere geht sie nicht auf den generellen Vorbehalt bei der Anwendung von Art. 34 ZG ein, wonach die Zollstelle dem Gesuch nicht stattgibt, wenn sie bei der Prüfung des Berichtigungsantrags feststellt oder annehmen muss, dass die anmeldepflichtige Person die zu berichtigende Zollanmeldung absichtlich falsch erstellt hat (RAEDERSDORF, a.a.O., N. 9 zu Art. 34 ZG ). Dieser Vorbehalt gilt mitunter auch für den Fall, dass der Importeur nach einer Zurückweisung der Zollanmeldung aufgrund nicht genügend vorhandener Kontingentsmenge kurzerhand die ganze Sendung zum Ausserkontingentzollansatz anmeldet, da er über den verfügbaren Zollkontingentsanteil nicht im Bilde war; dies in der Absicht, die Veranlagung danach auf dem Beschwerdeweg zu korrigieren (vgl. RAEDERSDORF, a.a.O., N. 10 zu Art. 34 ZG ). Es war nie die Absicht des Gesetzgebers, mit Art. 34 ZG die hohen Anforderungen an die Sorgfaltspflicht der anmeldepflichtigen Person derart auszuhöhlen, dass selbst absichtlich falsch erstellte Zollanmeldungen berichtigt werden können (RAEDERSDORF, a.a.O., N. 11 zu Art. 34 ZG ).</w:t>
      </w:r>
    </w:p>
    <w:p>
      <w:r>
        <w:t>Die Erwägung der Vorinstanz, wonach aufgrund des im angefochtenen Entscheid beschriebenen Ablaufs der erfolgten Zollanmeldung (Aufteilung der Sendung auf zwei Zollanmeldungen nach erfolgter Zurückweisung sowie zwei weitere Fehlversuche infolge ungenügender Kontingentsmenge) ein Beschwerdeverfahren im Hinblick auf ein nachträgliches bestmögliches Splitting von vornherein aussichtslos war, hält demnach vor Bundesrecht stand. Entgegen der in der Beschwerde vertretenen Ansicht kann nicht von einer irrtümlich zum Normaltarif erfolgten Deklaration ausgegangen werden.</w:t>
      </w:r>
    </w:p>
    <w:p>
      <w:r>
        <w:rPr>
          <w:b/>
        </w:rPr>
        <w:t>E. 3.3</w:t>
      </w:r>
    </w:p>
    <w:p>
      <w:r>
        <w:t>Eine Verletzung der massgebenden Vorschriften der Zollgesetzgebung ist auch mit den Vorbringen in der Beschwerde zum angeblichen Strafcharakter der erfolgten Zollveranlagung nicht dargetan. Entgegen dem, was die Beschwerdeführerin anzunehmen scheint, geht aus dem angefochtenen Entscheid nicht hervor, dass als Folge der konkreten Zollanmeldung bestehende Kontingente verfallen wären. Vielmehr wurde die konkrete Verzollung zum Ausserkontingentzollansatz vorgenommen, was zu höheren Kosten im Vergleich zu einer Verzollung nach dem Kontingentzollansatz führte. Eine strafrechtliche Sanktion kann darin nicht erblickt werden.</w:t>
      </w:r>
    </w:p>
    <w:p>
      <w:r>
        <w:rPr>
          <w:b/>
        </w:rPr>
        <w:t>E. 3.4</w:t>
      </w:r>
    </w:p>
    <w:p>
      <w:r>
        <w:t>Im Übrigen lässt sich entgegen der in der Beschwerde vertretenen Ansicht auch aus dem Urteil 2C_201/2013 vom 24. Januar 2014 ( BGE 140 II 194 ) nichts zugunsten der Beschwerdeführerin ableiten. Darin hält das Bundesgericht fest, dass es unverhältnismässig sei, dem Beschwerdeführer die Einfuhr zum Kontingentzollansatz zu verwehren mit der Begründung, er habe den Zuschlagspreis für das Kontingent 17 Tage zu spät bezahlt, zumal materiell betrachtet die Voraussetzungen für die Anwendung des Kontingentzollansatzes nach Entrichtung der Zahlung erfüllt gewesen seien ( BGE 140 II 194 E. 5.8.4). Inwiefern es sich im vorliegend zu beurteilenden Fall, der die Möglichkeit einer nachträglichen Änderung der erfolgten Veranlagung zugunsten der anmeldepflichtigen Person betrifft, um eine vergleichbare Situation handeln soll, leuchtet nicht ein. Auch mit ihrem allgemeinen Hinweis auf das Verhältnismässigkeitsprinzip zeigt die Beschwerdeführerin nicht auf, inwiefern eine Ausnahme vom Grundsatz der Verbindlichkeit bzw. Unabänderlichkeit der angenommenen Zollanmeldung ( Art. 33 Abs. 1 BGG ) geboten gewesen wäre, der einen Eckpfeiler des schweizerischen Zollrechts darstellt (BBl 2004 617).</w:t>
      </w:r>
    </w:p>
    <w:p>
      <w:r>
        <w:t>Die Vorinstanz hat demnach das Vorbringen der Beschwerdeführerin, die Verweigerung der nachträglichen Umbuchung durch die Zollbehörden sei auf die Nachlässigkeit der Beschwerdegegnerin zurückzuführen und hätte auf dem Beschwerdeweg behoben werden können, zu Recht verworfen.</w:t>
      </w:r>
    </w:p>
    <w:p>
      <w:r>
        <w:rPr>
          <w:b/>
        </w:rPr>
        <w:t>E. 4</w:t>
      </w:r>
    </w:p>
    <w:p>
      <w:r>
        <w:t>Die Beschwerdeführerin rügt hinsichtlich der Prozesskosten, die Vorinstanz habe den Aufwand im Zusammenhang mit dem Beschluss vom 26. März 2013 (act. 113) in Verletzung des Willkürverbots als vernachlässigbar erachtet und daher bei der Verteilung der Prozesskosten zu Unrecht unberücksichtigt gelassen.</w:t>
      </w:r>
    </w:p>
    <w:p>
      <w:r>
        <w:rPr>
          <w:b/>
        </w:rPr>
        <w:t>E. 4.1</w:t>
      </w:r>
    </w:p>
    <w:p>
      <w:r>
        <w:t>Wie im bundesgerichtlichen Rückweisungsentscheid vorgegeben (E. 2.2.4), prüfte die Vorinstanz, inwiefern bei der Verteilung der Prozesskosten das Unterliegen der Beschwerdegegnerin im Beschluss vom 26. März 2013 (act. 113) zu berücksichtigen sei, der in Dispositiv-Ziffer 2 vorsieht, dass über die entsprechenden Kosten- und Entschädigungsfolgen im Endentscheid befunden werde. Sie erwog, das entsprechende klägerische Wiedererwägungsgesuch habe mit Blick auf den Aufwand insgesamt lediglich einen zu vernachlässigenden Verfahrensschritt dargestellt, so dass dessen Quantifizierung unverhältnismässig erscheine.</w:t>
      </w:r>
    </w:p>
    <w:p>
      <w:r>
        <w:rPr>
          <w:b/>
        </w:rPr>
        <w:t>E. 4.2</w:t>
      </w:r>
    </w:p>
    <w:p>
      <w:r>
        <w:t>Die Beschwerdeführerin bringt vor, sie habe mit Eingabe vom 19. September 2013 einen Aufwand von Fr. 21'011.70 inkl. 8 % MWST geltend gemacht, die Beschwerdegegnerin mit Eingabe vom 3. März 2014 einen höheren Aufwand. Von Geringfügigkeit könne somit nicht gesprochen werden; zudem habe keine Partei die Angemessenheit der Aufwendungen der Gegenpartei bestritten.</w:t>
      </w:r>
    </w:p>
    <w:p>
      <w:r>
        <w:t>Damit vermag sie die vorinstanzliche Kostenverteilung nicht als willkürlich auszuweisen. Der von ihr erwähnte Aufwand der Parteien gemäss Eingaben vom 19. September 2013 (act. 130) und 3. März 2014 (act. 157) ist nicht etwa auf das Verfahren beschränkt, das zum Beschluss vom 26. März 2013 führte, sondern betrifft weitere Verfahrensschritte; so wird darin etwa auch Aufwand aufgeführt, der erst nach dem besagtem Beschluss angefallen ist. Abgesehen davon legt die Beschwerdeführerin in keiner Weise dar, weshalb eine Berücksichtigung des Aufwands für das fragliche Verfahren zu einer Kostenverteilung im Verhältnis von 1/3 zu 2/3 führen müsste, wie dies beantragt wird.</w:t>
      </w:r>
    </w:p>
    <w:p>
      <w:r>
        <w:t>Die Beschwerdeführerin vermag mit ihren Ausführungen nicht aufzuzeigen, inwiefern der Vorinstanz eine willkürliche Anwendung der (übergangsrechtlich noch anwendbaren) Bestimmungen des kantonalen Prozessrechts hinsichtlich der Verteilung der Prozesskosten vorzuwerfen wäre.</w:t>
      </w:r>
    </w:p>
    <w:p>
      <w:r>
        <w:rPr>
          <w:b/>
        </w:rPr>
        <w:t>E. 5</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