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4A_673/2025 vom 13. Januar 2026</w:t>
      </w:r>
    </w:p>
    <w:p>
      <w:r>
        <w:t>Bundesgericht, 2026-01-13, FR</w:t>
      </w:r>
    </w:p>
    <w:p>
      <w:r>
        <w:rPr>
          <w:b/>
        </w:rPr>
        <w:t xml:space="preserve">Quelle: </w:t>
      </w:r>
      <w:r>
        <w:t>https://mcp.opencaselaw.ch/entscheid/bger_4A_673_2025</w:t>
      </w:r>
    </w:p>
    <w:p>
      <w:r>
        <w:t>FR: TF 4A_673/2025 du 13 janvier 2026</w:t>
      </w:r>
    </w:p>
    <w:p>
      <w:r>
        <w:t>IT: TF 4A_673/2025 del 13 gennaio 2026</w:t>
      </w:r>
    </w:p>
    <w:p>
      <w:pPr>
        <w:pStyle w:val="Heading2"/>
      </w:pPr>
      <w:r>
        <w:t>Erwägungen</w:t>
      </w:r>
    </w:p>
    <w:p>
      <w:r>
        <w:rPr>
          <w:b/>
        </w:rPr>
        <w:t>E. 1</w:t>
      </w:r>
    </w:p>
    <w:p>
      <w:r>
        <w:t>Par avis officiel du 26 juillet 2024, B.________ a résilié pour le 23 août 2024 le contrat de bail conclu le 9 octobre 2023 avec A.________ portant sur la location d'une chambre non meublée, avec jouissance de la salle de bain, de la cuisine, du salon et d'un jardin, d'une cave et d'un grenier, se trouvant dans une maison située à U.________.</w:t>
      </w:r>
    </w:p>
    <w:p>
      <w:r>
        <w:t>Ce congé n'a pas été contesté par le locataire.</w:t>
      </w:r>
    </w:p>
    <w:p>
      <w:r>
        <w:t>Par jugement du 5 juin 2025, le Tribunal des baux et loyers genevois a déclaré irrecevable la requête en cas clair introduite le 6 mars 2025 par le bailleur en vue d'obtenir l'évacuation du locataire.</w:t>
      </w:r>
    </w:p>
    <w:p>
      <w:r>
        <w:rPr>
          <w:b/>
        </w:rPr>
        <w:t>E. 2</w:t>
      </w:r>
    </w:p>
    <w:p>
      <w:r>
        <w:t>Par arrêt du 7 novembre 2025, la Chambre des baux et loyers de la Cour de justice du canton de Genève a admis l'appel interjeté par le bailleur contre ledit jugement, condamné le locataire à évacuer immédiatement de sa personne, de ses biens et de tout tiers, la chambre non meublée qui lui avait été remise à bail et renvoyé la cause à l'autorité de première instance afin qu'elle statue sur les mesures d'exécution directe sollicitées par le bailleur.</w:t>
      </w:r>
    </w:p>
    <w:p>
      <w:r>
        <w:rPr>
          <w:b/>
        </w:rPr>
        <w:t>E. 3</w:t>
      </w:r>
    </w:p>
    <w:p>
      <w:r>
        <w:t>Le 23 décembre 2025, A.________ (ci-après: le recourant) a formé un recours au Tribunal fédéral à l'encontre de cet arrêt.</w:t>
      </w:r>
    </w:p>
    <w:p>
      <w:r>
        <w:t>Le Tribunal fédéral n'a pas requis le dépôt d'une réponse au recours.</w:t>
      </w:r>
    </w:p>
    <w:p>
      <w:r>
        <w:rPr>
          <w:b/>
        </w:rPr>
        <w:t>E. 4</w:t>
      </w:r>
    </w:p>
    <w:p>
      <w:r>
        <w:t>Le Tribunal fédéral examine d'office et librement la recevabilité des recours qui lui sont soumis ( ATF 137 III 417 consid. 1 et les références citées).</w:t>
      </w:r>
    </w:p>
    <w:p>
      <w:r>
        <w:rPr>
          <w:b/>
        </w:rPr>
        <w:t>E. 4.1</w:t>
      </w:r>
    </w:p>
    <w:p>
      <w:r>
        <w:t>À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Les critiques de nature appellatoire sont irrecevables ( ATF 145 IV 154 consid. 1.1; 142 III 364 consid. 2.4; 140 III 264 consid. 2.3). Si elle souhaite obtenir un complètement de l'état de fait, la partie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4.2</w:t>
      </w:r>
    </w:p>
    <w:p>
      <w:r>
        <w:t>Le présent recours ne satisfait manifestement pas aux exigences de motivation rappelées ci-dessus. Il consiste dans une argumentation de type appellatoire par laquelle le recourant se borne à opposer sa propre vision des circonstances factuelles de la cause en litige aux faits retenus par la cour cantonale dans l'arrêt entrepris, sans démontrer que ceux-ci auraient été établis arbitrairement ni se conformer aux exigences applicables en matière de complètement de l'état de fait. On cherche, en vain, parmi les éléments avancés dans l'écriture du recourant, une critique digne de ce nom des considérations juridiques émises par la cour cantonale pour justifier la solution retenue par elle. Il suit de là que le présent recours est irrecevable, ce qu'il convient de constater selon la procédure simplifiée de l' art. 108 al. 1 let. b LTF .</w:t>
      </w:r>
    </w:p>
    <w:p>
      <w:r>
        <w:rPr>
          <w:b/>
        </w:rPr>
        <w:t>E. 5</w:t>
      </w:r>
    </w:p>
    <w:p>
      <w:r>
        <w:t>Le recourant,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