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4A_671/2024 vom 28. Januar 2025</w:t>
      </w:r>
    </w:p>
    <w:p>
      <w:r>
        <w:t>Bundesgericht, 2025-01-28, DE</w:t>
      </w:r>
    </w:p>
    <w:p>
      <w:r>
        <w:rPr>
          <w:b/>
        </w:rPr>
        <w:t xml:space="preserve">Quelle: </w:t>
      </w:r>
      <w:r>
        <w:t>https://mcp.opencaselaw.ch/entscheid/bger_4A_671_2024</w:t>
      </w:r>
    </w:p>
    <w:p>
      <w:r>
        <w:t>FR: TF 4A_671/2024 du 28 janvier 2025</w:t>
      </w:r>
    </w:p>
    <w:p>
      <w:r>
        <w:t>IT: TF 4A_671/2024 del 28 gennaio 2025</w:t>
      </w:r>
    </w:p>
    <w:p>
      <w:pPr>
        <w:pStyle w:val="Heading2"/>
      </w:pPr>
      <w:r>
        <w:t>Erwägungen</w:t>
      </w:r>
    </w:p>
    <w:p>
      <w:r>
        <w:rPr>
          <w:b/>
        </w:rPr>
        <w:t>E. 1.1</w:t>
      </w:r>
    </w:p>
    <w:p>
      <w:r>
        <w:t>Mit Urteil vom 9. Oktober 2024 erteilte das Bezirksgericht Dietikon den Beschwerdegegnern in der Betreibung Nr. xxx des Betreibungsamts X.________ für ausstehende Steuern und Kosten der Steuerjahre 2002, 2006-2009 und 2012 von total Fr. 36'887.05 gegen den Beschwerdeführer teilweise definitive Rechtsöffnung.</w:t>
      </w:r>
    </w:p>
    <w:p>
      <w:r>
        <w:rPr>
          <w:b/>
        </w:rPr>
        <w:t>E. 1.2</w:t>
      </w:r>
    </w:p>
    <w:p>
      <w:r>
        <w:t>Mit Urteil vom 6. November 2024 wies das Obergericht des Kantons Zürich die vom Beschwerdeführer gegen das Urteil des Bezirksgerichts Dietikon vom 9. Oktober 2024 eingereichte Beschwerde ab. Mit Beschluss vom 6. November 2024 wies das Obergericht des Kantons Zürich zudem das Gesuch des Beschwerdeführers um unentgeltliche Rechtspflege ab.</w:t>
      </w:r>
    </w:p>
    <w:p>
      <w:r>
        <w:rPr>
          <w:b/>
        </w:rPr>
        <w:t>E. 1.3</w:t>
      </w:r>
    </w:p>
    <w:p>
      <w:r>
        <w:t>Mit Eingabe vom 13. Dezember 2024 (Postaufgabe 16. Dezember 2024) erklärte der Beschwerdeführer dem Bundesgericht, Beschwerde gegen den Beschluss und das Urteil des Obergerichts des Kantons Zürich vom 6. November 2024 führen zu wollen. Er stellte ein Gesuch um Gewährung der unentgeltlichen Rechtspflege für das bundesgerichtliche Verfahren.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3.1</w:t>
      </w:r>
    </w:p>
    <w:p>
      <w:r>
        <w:t>Die Vorinstanz erwog zur erhobenen Verrechnungseinrede, die vom Beschwerdeführer eingereichte Verlustbescheinigung vom 15. August 1979 erfülle die Voraussetzungen von Art. 81 Abs. 1 SchKG nicht. Auf dieser werde darauf hingewiesen, dass sie keinen definitiven Verlustschein im Sinne von Art. 149 SchKG bilde. Darauf sei auch keine Schuld festgehalten, die von den Beschwerdegegnern anerkannt worden wäre - als Schuldner sei das Land U.________ ausgewiesen, als Gläubigerin eine Aktiengesellschaft. Der Beschwerdeführer lege keine Urkunde vor, in der die Beschwerdegegner eine Schuld gegenüber dem Beschwerdeführer anerkannt hätten.</w:t>
      </w:r>
    </w:p>
    <w:p>
      <w:r>
        <w:rPr>
          <w:b/>
        </w:rPr>
        <w:t>E. 3.2</w:t>
      </w:r>
    </w:p>
    <w:p>
      <w:r>
        <w:t>Der Beschwerdeführer setzt sich in seiner Beschwerdeeingabe offensichtlich nicht hinreichend mit den Erwägungen des angefochtenen Urteils auseinander. Er wiederholt über weite Strecken seine bereits vorinstanzlich vorgetragene Sicht der Dinge zu den Grundlagen seiner behaupteten Schadenersatzforderung, die er verrechnungsweise gegen die Steuerforderungen der Beschwerdegegner einzuwenden versucht. Er hält dem angefochtenen Urteil entgegen, dass die in der Verlustbescheinigung aufgeführte Vertragsschuldnerin für die durch die Justiz des Kantons Zürich begangenen deliktischen Handlungen des Arrestverstrickungsbruchs und des Pfändungsbetrugs nicht haftbar sei. Er begründet damit nicht hinreichend, inwiefern die Vorinstanz die Urkundenqualität gemäss Art. 81 Abs. 1 SchKG namentlich hinsichtlich der Identitäten von Gläubiger und Schuldner in Verletzung von Bundesrecht angewendet haben soll. Der Beschwerdeführer verfällt weiter in appellatorische Kritik, wenn er der Vorinstanz unterstellt, die Verlustbescheinigung befangen und mit Absicht falsch beurteilt zu haben und darauf schliesst, die Vorinstanz verweigere ihm das rechtliche Gehör und handle wider Treu und Glauben zu seinem Nachteil. Damit verfehlt er die gesetzlichen Begründungsanforderungen. Auf die Beschwerde ist somit im vereinfachten Verfahren nach Art. 108 Abs. 1 lit. b BGG nicht einzutreten.</w:t>
      </w:r>
    </w:p>
    <w:p>
      <w:r>
        <w:rPr>
          <w:b/>
        </w:rPr>
        <w:t>E. 4</w:t>
      </w:r>
    </w:p>
    <w:p>
      <w:r>
        <w:t>Dem Gesuch des Beschwerdeführers um Gewährung der unentgeltlichen Rechtspflege für das bundesgerichtliche Verfahren kann nicht entsprochen werden, da die Beschwerde aussichtslos ist ( Art. 64 Abs. 1 BGG ). Bei diesem Ausgang des Verfahrens wird der Beschwerdeführer kostenpflichtig ( Art. 66 Abs. 1 BGG ). Den Beschwerdegegnern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