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670/2020 vom 3. Mai 2021</w:t>
      </w:r>
    </w:p>
    <w:p>
      <w:r>
        <w:t>Bundesgericht, 2021-05-03, DE</w:t>
      </w:r>
    </w:p>
    <w:p>
      <w:r>
        <w:rPr>
          <w:b/>
        </w:rPr>
        <w:t xml:space="preserve">Quelle: </w:t>
      </w:r>
      <w:r>
        <w:t>https://mcp.opencaselaw.ch/entscheid/bger_4A_670_2020</w:t>
      </w:r>
    </w:p>
    <w:p>
      <w:r>
        <w:t>FR: TF 4A 670/2020 du 3 mai 2021</w:t>
      </w:r>
    </w:p>
    <w:p>
      <w:r>
        <w:t>IT: TF 4A 670/2020 del 3 maggio 2021</w:t>
      </w:r>
    </w:p>
    <w:p>
      <w:pPr>
        <w:pStyle w:val="Heading2"/>
      </w:pPr>
      <w:r>
        <w:t>Regeste</w:t>
      </w:r>
    </w:p>
    <w:p>
      <w:r>
        <w:t>Forderung aus Mietverhältnis; sachliche Zuständigkeit, | Vertragsrecht</w:t>
      </w:r>
    </w:p>
    <w:p>
      <w:pPr>
        <w:pStyle w:val="Heading2"/>
      </w:pPr>
      <w:r>
        <w:t>Erwägungen</w:t>
      </w:r>
    </w:p>
    <w:p>
      <w:r>
        <w:rPr>
          <w:b/>
        </w:rPr>
        <w:t>E. 1</w:t>
      </w:r>
    </w:p>
    <w:p>
      <w:r>
        <w:t>Der angefochtene Entscheid des Obergerichts ist ein Endentscheid ( Art. 90 BGG ) einer Vorinstanz im Sinne von Art. 75 BGG . Weiter übersteigt der Streitwert den nach Art. 74 Abs. 1 lit. a BGG geltenden Mindestbetrag von Fr. 15'000.--. Die Beschwerde in Zivilsachen ist damit grundsätzlich zulässig.</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2.3</w:t>
      </w:r>
    </w:p>
    <w:p>
      <w:r>
        <w:t>Soweit die Parteien die vorinstanzliche Beweiswürdigung kritisieren,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137 III 226 E. 4.2;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w:t>
      </w:r>
    </w:p>
    <w:p>
      <w:r>
        <w:rPr>
          <w:b/>
        </w:rPr>
        <w:t>E. 3</w:t>
      </w:r>
    </w:p>
    <w:p>
      <w:r>
        <w:t>Streitig ist, ob das Mietgericht Horgen sachlich zuständig ist.</w:t>
      </w:r>
    </w:p>
    <w:p>
      <w:r>
        <w:rPr>
          <w:b/>
        </w:rPr>
        <w:t>E. 3.1</w:t>
      </w:r>
    </w:p>
    <w:p>
      <w:r>
        <w:t>Nach Art. 4 Abs. 1 ZPO regelt das kantonale Recht die sachliche und funktionelle Zuständigkeit der Gerichte, soweit die Zivilprozessordnung nichts anderes bestimmt. Letzteres ist für Streitigkeiten aus Mietvertrag nicht der Fall, sodass das kantonale Recht, in casu das Recht des Kantons Zürich, massgebend ist. Nach § 21 Abs. 1 lit. a des Zürcherischen Gesetzes über die Gerichts- und Behördenorganisation im Zivil- und Strafprozess vom 10. Mai 2010 (GOG-ZH; LS 211.1) entscheidet das Mietgericht erstinstanzlich "Streitigkeiten aus Miet- ( Art. 253a OR ) und aus Pachtverhältnissen ( Art. 276 OR ) für Wohn- und Geschäftsräume". § 26 GOG-ZH regelt die Zuständigkeit des Einzelrichters und des Kollegialgerichts des Mietgerichts. Das Mietgericht ist demnach nicht für alle Mietstreitigkeiten zuständig, sondern nur für solche, die sich auf Wohn- und Geschäftsräume im Sinne von Art. 253a OR beziehen (vgl. Urteil des Obergerichts des Kantons Zürich vom 30. Mai 2017, ZR 116 [2017], Nr. 54).</w:t>
      </w:r>
    </w:p>
    <w:p>
      <w:r>
        <w:rPr>
          <w:b/>
        </w:rPr>
        <w:t>E. 3.2</w:t>
      </w:r>
    </w:p>
    <w:p>
      <w:r>
        <w:t>In casu entscheidet sich die sachliche Zuständigkeit des vom Beschwerdeführer angerufenen Mietgerichts danach, ob die Miete des Spritzenhäuschens als Geschäftsraummiete gilt oder nicht (eine Wohnnutzung fällt dafür von vornherein ausser Betracht). Diese Frage ist einzig für die Bestimmung der (sachlichen) Zuständigkeit relevant, indessen nicht für die Entscheidung des Streits in materieller Hinsicht. Der Beschwerdeführer macht Schadenersatz wegen einem Mangel der Mietsache (feuchte Wände) gestützt auf Art. 259e OR geltend. Diese Bestimmung findet auf alle Mietsachen Anwendung, nicht nur auf Wohn- und Geschäftsräume im Sinne von Art. 253a OR . In der Sache spielt die Frage, ob es sich bei der Miete des Spritzenhäuschens um eine Geschäftsraummiete handelt, mithin keine Rolle. Dementsprechend bilden die Tatsachen, aufgrund derer die Entscheidung dieser Frage vorzunehmen ist, einfachrelevante Tatsachen, da sie lediglich für die (sachliche) Zuständigkeit massgebend sind. Diese Tatsachen müssen im Stadium der Zuständigkeitsprüfung vom Kläger bewiesen werden, sofern der Beklagte - wie in casu - die Unzuständigkeitseinrede erhebt und die Vorbringen des Klägers bestreitet ( BGE 141 III 294 E. 5.1; Urteil 4A_619/2020 vom 17. Februar 2021 E. 2.1.1, zur Publikation bestimmt). Entgegen der Rüge des Beschwerdeführers hat die Vorinstanz mithin zu Recht nicht die Theorie der doppelrelevanten Tatsachen zur Anwendung gebracht. Ein bloss schlüssiger Tatsachenvortrag, wie er bei Vorliegen doppelrelevanter Tatsachen im Eintretensstadium genügt hätte, war mithin in casu nicht ausreichend. Vielmehr hat die Vorinstanz dem Beschwerdeführer zutreffend den Beweis für die einfachrelevanten Tatsachen auferlegt, aufgrund derer auf eine Geschäftsraummiete im Sinne von Art. 253a OR geschlossen werden könnte.</w:t>
      </w:r>
    </w:p>
    <w:p>
      <w:r>
        <w:rPr>
          <w:b/>
        </w:rPr>
        <w:t>E. 4.1</w:t>
      </w:r>
    </w:p>
    <w:p>
      <w:r>
        <w:t>Nach der Bestimmung von § 21 Abs. 1 lit. a GOG-ZH entscheidet das Mietgericht über Mietstreitigkeiten, die sich auf Wohn- und Geschäftsräume im Sinne von Art. 253a OR beziehen (Erwägung 3.1) Das kantonalzürcherische Recht verweist damit für die Zuständigkeit des Mietgerichts auf eine materiellrechtliche Bestimmung des Bundesrechts bzw. es stellt auf bundeszivilrechtliche Begrifflichkeiten ab. In einem solchen Fall wird das für anwendbar erklärte Bundesrecht bzw. der verwendete Begriff als kantonale Regelung behandelt (Urteile 4A_165/2014 vom 21. Juli 2014 E. 4.1; 4A_375/2008 vom 18. November 2008 E. 2.1; je mit Hinweisen). Ob es sich in der vorliegenden Streitigkeit um eine solche über eine Geschäftsraummiete handelt, ist damit einzig eine Frage des kantonalen Rechts. Dessen Anwendung prüft das Bundesgericht - von hier nicht zutreffenden Ausnahmen ( Art. 95 lit. c-e BGG ) abgesehen - nur auf die Verletzung verfassungsmässiger Rechte, namentlich auf Willkür hin, wenn und soweit entsprechende Rügen erhoben und begründet werden ( Art. 106 Abs. 2 BGG ; 140 III 385 E. 2.3; 139 III 225 E. 2.3).</w:t>
      </w:r>
    </w:p>
    <w:p>
      <w:r>
        <w:rPr>
          <w:b/>
        </w:rPr>
        <w:t>E. 4.2</w:t>
      </w:r>
    </w:p>
    <w:p>
      <w:r>
        <w:t>Nach Art. 253a Abs. 1 OR gelten die Bestimmungen über die Miete von Wohn- und Geschäftsräumen auch für Sachen, die der Vermieter zusammen mit diesen Räumen dem Mieter zum Gebrauch überlässt. Die Zuständigkeit des Mietgerichts hängt mithin davon ab, ob es sich beim Spritzenhäuschen um einen Geschäftsraum bzw. ein Nebenobjekt zu einem solchen handelt oder nicht. Zur Beurteilung dieser Frage hat die Vorinstanz eine eingehende Würdigung der Vorbringen und Beweise vorgenommen und auch begründet, weshalb sie in antizipierter Beweiswürdigung oder mangels Entscheidrelevanz auf gewisse Zeugenbefragungen verzichtete. Der Beschwerdeführer hatte behauptet, er benutze das Spritzenhäuschen als Warenlager des Handels mit Oldtimer-Ersatzteilen. Die Vorinstanz kam jedoch zum Schluss, aufgrund der Behauptungen des Mieters und der dazu eingereichten Belege sei nicht hinreichend dargetan, dass im Büro am U.________weg ein geschäftlicher Ersatzteilhandel betrieben worden sei, zu welchem das Spritzenhäuschen als Lager diente. Es sei mithin kein Nebenobjekt eines Geschäftsraums am U.________weg. Umso weniger sei das Spritzenhäuschen selber ein Geschäftsraum im Sinne von Art. 253a OR ; der Mieter habe nicht beweisen können, dass die Parteien den Gebrauch des Spritzenhäuschens zu Geschäftszwecken vereinbart hätten, auch nicht konkludent.</w:t>
      </w:r>
    </w:p>
    <w:p>
      <w:r>
        <w:rPr>
          <w:b/>
        </w:rPr>
        <w:t>E. 4.3</w:t>
      </w:r>
    </w:p>
    <w:p>
      <w:r>
        <w:t>Der Beschwerdeführer vermöchte diese Beweiswürdigung vor Bundesgericht nur umzustossen, wenn er sie als willkürlich ausweisen würde (Erwägung 2.3). Dies tut er aber nicht. Stattdessen trägt er seitenweise appellatorische Kritik vor und erweitert den Sachverhalt, ohne hinreichende Sachverhaltsrügen vorzutragen (vgl. Erwägung 2.2). Willkür wird nicht aufgezeigt, indem einmal mehr der eigene Standpunkt ausgebreitet und erst noch teilweise auf neue Behauptungen gestützt wird. Darauf ist nicht einzutreten. Ohnehin fussen die Darlegungen des Beschwerdeführers auf der irrigen Annahme, er müsse die zuständigkeitsdeterminierenden Tatsachen bloss schlüssig vortragen. Wie ausgeführt (Erwägung 3.2), sind diese Tatsachen vorliegend einfachrelevant und daher zu beweisen. Dies ist dem Beschwerdeführer gemäss Vorinstanz nicht gelungen. Dabei bleibt es, nachdem der Beschwerdeführer die vorinstanzliche Beweiswürdigung nicht als willkürlich ausgewiesen hat.</w:t>
      </w:r>
    </w:p>
    <w:p>
      <w:r>
        <w:rPr>
          <w:b/>
        </w:rPr>
        <w:t>E. 4.4</w:t>
      </w:r>
    </w:p>
    <w:p>
      <w:r>
        <w:t>Somit ist von der vorinstanzlichen Feststellung auszugehen, dass nicht erwiesen ist, dass im Büro am U.________weg (Hauptsache) ein geschäftlicher Ersatzteilhandel betrieben wurde. Eine Qualifikation des Spritzenhäuschens als Nebensache eines Geschäftsraums im Sinne von Art. 253a Abs. 1 OR entfällt damit von vornherein, ohne dass näher geprüft werden müsste, ob ein hinreichender funktioneller Zusammenhang zur Hauptsache besteht (vgl. dazu BGE 137 III 123 E. 2.1; 125 III 231 E. 2a; Urteil 4A_186/2017 vom 4. Dezember 2017 E. 4.1).</w:t>
      </w:r>
    </w:p>
    <w:p>
      <w:r>
        <w:rPr>
          <w:b/>
        </w:rPr>
        <w:t>E. 4.5</w:t>
      </w:r>
    </w:p>
    <w:p>
      <w:r>
        <w:t>Aufgrund der verbindlichen Feststellungen der Vorinstanz scheidet auch eine Qualifikation des Spritzenhäuschens selber als Geschäftsraum im Sinne von Art. 253a OR aus. Nach der Beschwerdegegnerin wurde das Spritzenhäuschen zum Einstellen von zwei Oldtimer-Fahrzeugen gemietet. Der Beschwerdeführer vermochte seine anderslautende Behauptung nicht darzutun. Die Vorinstanz stellte fest, er habe nicht bewiesen, dass die Nutzung als Ersatzteillager vereinbart worden sei. Auf der Grundlage dieser Feststellung könnte das Spritzenhäuschen selbst dann nicht als Geschäftsraum qualifiziert werden, wenn man die sehr weite Auslegung von BGE 118 II 40 zugrunde legte. In diesem Urteil werden als Geschäftsräume all jene Räumlichkeiten betrachtet, die tatsächlich dazu beitragen, dass der Mieter seine Persönlichkeit in privater oder wirtschaftlicher Hinsicht entfalten kann ( BGE 118 II 40 E. 4b). In späteren Entscheiden wurde diese sehr weit gefasste Formulierung unter Hinweis auf die Kritik in der Lehre nicht wieder aufgenommen (Urteil 4C.425/1994 vom 6. Februar 1995 E. 2a; zusammengefasst in: Peter Münch, Mieterstreckung: Hobby-Pferdestall als Geschäftsraum?, ZBJV 131 [1995], S. 418 f.). Gemäss Rechtsprechung gilt namentlich eine zum Abstellen von Autos separat gemietete Garage nicht als Geschäftsraum ( BGE 125 III 231 E. 2 S. 233 mit Hinweisen). Nichts anderes gilt vorliegend: Das separat gemietete Spritzenhäuschen wurde gemäss der nicht als willkürlich ausgewiesenen Beweiswürdigung der Vorinstanz zum Einstellen von zwei Oldtimer-Fahrzeugen gemietet und ist daher nicht als Geschäftsraum im Sinne von § 21 Abs. 1 lit. a GOG-ZH i.V.m. Art. 253a OR zu qualifizieren.</w:t>
      </w:r>
    </w:p>
    <w:p>
      <w:r>
        <w:rPr>
          <w:b/>
        </w:rPr>
        <w:t>E. 4.6</w:t>
      </w:r>
    </w:p>
    <w:p>
      <w:r>
        <w:t>Damit erkannte die Vorinstanz zu Recht, dass die vorliegende Klage nicht in den sachlichen Zuständigkeitsbereich des Mietgerichts nach § 21 Abs. 1 lit. a GOG-ZH fällt und darauf nicht einzutreten ist.</w:t>
      </w:r>
    </w:p>
    <w:p>
      <w:r>
        <w:rPr>
          <w:b/>
        </w:rPr>
        <w:t>E. 5</w:t>
      </w:r>
    </w:p>
    <w:p>
      <w:r>
        <w:t>Das Urteil des Obergerichts ist demnach nicht zu beanstanden. Entsprechend besteht kein Anlass, die obergerichtliche Kosten- und Entschädigungsregelung neu zu bestimmen, da diese vom Beschwerdeführer nicht unabhängig vom Verfahrensausgang angefochten wird.</w:t>
      </w:r>
    </w:p>
    <w:p>
      <w:r>
        <w:rPr>
          <w:b/>
        </w:rPr>
        <w:t>E. 6</w:t>
      </w:r>
    </w:p>
    <w:p>
      <w:r>
        <w:t>Die Beschwerde ist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