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4A_66/2024 vom 13. Juni 2024</w:t>
      </w:r>
    </w:p>
    <w:p>
      <w:r>
        <w:t>Bundesgericht, 2024-06-13, DE</w:t>
      </w:r>
    </w:p>
    <w:p>
      <w:r>
        <w:rPr>
          <w:b/>
        </w:rPr>
        <w:t xml:space="preserve">Quelle: </w:t>
      </w:r>
      <w:r>
        <w:t>https://mcp.opencaselaw.ch/entscheid/bger_4A_66_2024</w:t>
      </w:r>
    </w:p>
    <w:p>
      <w:r>
        <w:t>FR: TF 4A_66/2024 du 13 juin 2024</w:t>
      </w:r>
    </w:p>
    <w:p>
      <w:r>
        <w:t>IT: TF 4A_66/2024 del 13 giugno 2024</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Die Beschwerdegegnerinnen bringen vor, aufgrund der früheren Tätigkeit von Rechtsanwalt Wehland beim Permanent Court of Arbitration liege ein Interessenkonflikt vor, der die fehlende Postulationsfähigkeit der beiden Rechtsvertreter der Beschwerdeführerin nach sich ziehe. Die Beschwerdeführerin bestreitet sowohl in tatsächlicher als auch in rechtlicher Hinsicht das Vorliegen eines Interessenkonflikts und stellt auch die in der Beschwerdeantwort geltend gemachten Auswirkungen auf das bundesgerichtliche Beschwerdeverfahren in Abrede.</w:t>
      </w:r>
    </w:p>
    <w:p>
      <w:r>
        <w:t>Mit Blick auf den Ausgang des Verfahrens wird darauf verzichtet, auf den behaupteten Interessenkonflikt und dessen mögliche Auswirkungen näher einzugehen.</w:t>
      </w:r>
    </w:p>
    <w:p>
      <w:r>
        <w:rPr>
          <w:b/>
        </w:rPr>
        <w:t>E. 3</w:t>
      </w:r>
    </w:p>
    <w:p>
      <w:r>
        <w:t>Im Bereich der internationalen Schiedsgerichtsbarkeit ist die Beschwerde in Zivilsachen unter den Voraussetzungen der Art. 190-192 IPRG (SR 291) zulässig ( Art. 77 Abs. 1 lit. a BGG ).</w:t>
      </w:r>
    </w:p>
    <w:p>
      <w:r>
        <w:rPr>
          <w:b/>
        </w:rPr>
        <w:t>E. 3.1</w:t>
      </w:r>
    </w:p>
    <w:p>
      <w:r>
        <w:t>Der Sitz des Schiedsgerichts befindet sich vorliegend in Genf. Die Parteien hatten im massgebenden Zeitpunkt ihren Sitz ausserhalb der Schweiz ( Art. 176 Abs. 1 IPRG ).</w:t>
      </w:r>
    </w:p>
    <w:p>
      <w:r>
        <w:t>Soweit das Schiedsgericht mit Partial Award vom 20. Dezember 2017 seine Zuständigkeit und (dem Grundsatz nach) die Haftung der Beklagten bejahte (Dispositiv lit. d-f), handelt es sich dabei um einen Zwischenentscheid (vgl. BGE 143 III 462 E. 3.1). Dieser konnte nach Massgabe von Art. 190 Abs. 3 IPRG mit Beschwerde angefochten werden.</w:t>
      </w:r>
    </w:p>
    <w:p>
      <w:r>
        <w:t>Beim Endschiedsspruch ("Final Award") vom 15. Dezember 2023 handelt es sich um einen anfechtbaren Endentscheid, gegen den die Beschwerde nach Art. 190 Abs. 2 IPRG zulässig ist.</w:t>
      </w:r>
    </w:p>
    <w:p>
      <w:r>
        <w:rPr>
          <w:b/>
        </w:rPr>
        <w:t>E. 3.2</w:t>
      </w:r>
    </w:p>
    <w:p>
      <w:r>
        <w:t>Zulässig sind allein die Rügen, die in Art. 190 Abs. 2 IPRG abschliessend aufgezählt sind ( BGE 134 III 186 E. 5; 128 III 50 E. 1a; 127 III 279 E. 1a).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134 III 186 E. 5; Urteil 4A_244/2023 vom 3. April 2024 E. 4.1, zur Publ. vorgesehen).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(Urteile 4A_244/2023 vom 3. April 2024 E. 4.1 mit Hinweisen, zur Publ. vorgesehen). Appellatorische Kritik ist unzulässig ( BGE 134 III 565 E. 3.1; 119 II 380 E. 3b).</w:t>
      </w:r>
    </w:p>
    <w:p>
      <w:r>
        <w:t>Da die Begründung in der Beschwerdeschrift enthalten sein muss, kann die beschwerdeführende Partei nicht auf die Behauptungen, Beweise und Beweisangebote verweisen, die in den Rechtsschriften des Schiedsverfahrens enthalten sind. Ebenso wenig darf die beschwerdeführende Partei die Replik dazu benutzen, tatsächliche oder rechtliche Gründe geltend zu machen, die sie nicht rechtzeitig - d.h. vor Ablauf der nicht erstreckbaren Beschwerdefrist ( Art. 190 Abs. 4 IPRG i.V.m. Art. 47 Abs. 1 BGG ) - vorgebracht hat, oder um nach Fristablauf eine ungenügende Begründung zu ergänzen (Urteile 4A_244/2023 vom 3. April 2024 E. 4.1 mit Hinweisen, zur Publ. vorgesehen; 4A_478/2017 vom 2. Mai 2018 E. 2.2 mit Hinweisen).</w:t>
      </w:r>
    </w:p>
    <w:p>
      <w:r>
        <w:rPr>
          <w:b/>
        </w:rPr>
        <w:t>E. 4.1</w:t>
      </w:r>
    </w:p>
    <w:p>
      <w:r>
        <w:t>Gegen den Zwischenentscheid vom 20. Dezember 2017 hatte die Beschwerdeführerin - soweit das Schiedsgericht damit seine Zuständigkeit bejahte - Beschwerde in Zivilsachen erhoben. Diese wurde vom Bundesgericht mit Urteil 4A_80/2018 vom 7. Februar 2020 abgewiesen. Die Beschwerde war gegen den genannten Zwischenentscheid betreffend die Zuständigkeit nach Art. 190 Abs. 3 IPRG nur aus den in Art. 190 Abs. 2 lit. a und b IPRG genannten Gründen zulässig. Die Rüge der Gehörsverletzung ( Art. 190 Abs. 2 lit. d IPRG ) konnte, wie auch die weiteren Rügen nach Art. 190 Abs. 2 IPRG , nur erhoben werden, soweit sie unmittelbar die Zuständigkeit des Schiedsgerichts betrafen ( BGE 140 III 477 E. 3.1, 520 E. 2.2.3). In Bezug auf die vom Schiedsgericht mit dem Zwischenentscheid vom 20. Dezember 2017 (dem Grundsatz nach) bejahte Haftbarkeit der Beschwerdeführerin war die Rüge der Verletzung des rechtlichen Gehörs demgegenüber nach Art. 190 Abs. 3 IPRG nicht zulässig; diese kann nunmehr mit der Beschwerde gegen den Endschiedsspruch vom 15. Dezember 2023 erhoben werden (dazu unten E. 5).</w:t>
      </w:r>
    </w:p>
    <w:p>
      <w:r>
        <w:rPr>
          <w:b/>
        </w:rPr>
        <w:t>E. 4.2</w:t>
      </w:r>
    </w:p>
    <w:p>
      <w:r>
        <w:t>Nicht angefochten werden kann der Endschiedsspruch demgegenüber wegen angeblich fehlender Zuständigkeit des Schiedsgerichts ( Art. 190 Abs. 2 lit. b IPRG ). Diese Rüge konnte und musste gegen den Zwischenentscheid vom 20. Dezember 2017 erhoben werden; die entsprechende Beschwerde blieb jedoch erfolglos (Urteil 4A_80/2018 vom 7. Februar 2020).</w:t>
      </w:r>
    </w:p>
    <w:p>
      <w:r>
        <w:t>Den Zwischenentscheid vom 22. Juli 2021, mit dem das Schiedsgericht den von ihr erhobenen Achmea-Einwand als unzulässig erklärte, focht die Beschwerdeführerin nicht beim Bundesgericht an. Entgegen den Vorbringen in der Beschwerde handelte es sich bei diesem Zwischenentscheid keineswegs bloss um eine "Prozessverfügung des Schiedsgerichts zur Organisation des weiteren Verfahrens". Vielmehr beurteilte das Schiedsgericht damit eingehend und ausschliesslich ("Decision on the Admissibility of the</w:t>
      </w:r>
    </w:p>
    <w:p>
      <w:r>
        <w:t>Achmea Objection"), ob der nachträglich erhobene Einwand, wonach das Achmea-Urteil des EuGH vom 6. März 2018 der schiedsgerichtlichen Zuständigkeit entgegenstehe, als unzulässig zu gelten hat ("The Tribunal therefore declares the Respondent's objection to the Tribunal's jurisdiction based on the</w:t>
      </w:r>
    </w:p>
    <w:p>
      <w:r>
        <w:t>Achmea Judgment inadmissible"). Entgegen dem, was die Beschwerdeführerin anzunehmen scheint, weist auch nichts auf einen bloss provisorischen Charakter des Zwischenentscheids vom 22. Juli 2021 hin. Mit der Weigerung, den neuen Einwand zuzulassen, hat das Schiedsgericht unmissverständlich und für den Endentscheid bindend zum Ausdruck gebracht, an seinem vorangegangenen (positiven) Zuständigkeitsentscheid festzuhalten, weshalb darin ein Zwischenentscheid über die Zuständigkeit im Sinne von Art. 186 Abs. 3 IPRG zu erblicken ist (vgl. bereits Urteil 4A_187/2020 vom 23. Februar 2021 E. 5.2.2 betr. einen erneut erhobenen Einwand). Der Einwand der Beschwerdeführerin, sie habe den schiedsgerichtlichen Zwischenentscheid vom 22. Juli 2021 nicht anfechten können, verfängt daher nicht.</w:t>
      </w:r>
    </w:p>
    <w:p>
      <w:r>
        <w:t>Entgegen den Vorbringen der Beschwerdeführerin trifft auch nicht zu, dass das Schiedsgericht mit Sitz in Genf mit dem Endschiedsspruch vom 15. Dezember 2023 "erneut seine Zuständigkeit bejaht" habe, weshalb die unter Berufung auf Art. 190 Abs. 2 lit. b IPRG erhobene Rüge, das Schiedsgericht habe mit dem Endschiedsspruch vom 15. Dezember 2023 einen unrichtigen Zuständigkeitsentscheid gefällt, von vornherein ins Leere zielt. Abgesehen davon wären die von der Beschwerdeführerin nunmehr vor Bundesgericht ins Feld geführten Umstände, die angeblich erst nach dem Zwischenentscheid vom 22. Juli 2021 eingetreten sein sollen, rechtzeitig im Schiedsverfahren vorzubringen gewesen. Sie erstmals im Rahmen des Rechtsmittelverfahrens zu rügen, widerspricht Treu und Glauben, weshalb die Rügegründe ohnehin verwirkt wären (vgl. BGE 130 III 66 E. 4.3 mit Hinweisen).</w:t>
      </w:r>
    </w:p>
    <w:p>
      <w:r>
        <w:t>Die Rüge, das Schiedsgericht habe einen unrichtigen Zuständigkeitsentscheid gefällt ( Art. 190 Abs. 2 lit. b IPRG ), zielt insgesamt ins Leere. Darauf ist nicht einzutreten.</w:t>
      </w:r>
    </w:p>
    <w:p>
      <w:r>
        <w:rPr>
          <w:b/>
        </w:rPr>
        <w:t>E. 5</w:t>
      </w:r>
    </w:p>
    <w:p>
      <w:r>
        <w:t>Die Beschwerdefü hrerin rügt, das Schiedsgericht habe ihren Anspruch auf rechtliches Gehör verletzt ( Art. 190 Abs. 2 lit. d IPRG ).</w:t>
      </w:r>
    </w:p>
    <w:p>
      <w:r>
        <w:rPr>
          <w:b/>
        </w:rPr>
        <w:t>E. 5.1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142 III 360 E. 4.1.1; 130 III 35 E. 5; je mit Hinweisen).</w:t>
      </w:r>
    </w:p>
    <w:p>
      <w:r>
        <w:t>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5.2</w:t>
      </w:r>
    </w:p>
    <w:p>
      <w:r>
        <w:t>Die Beschwerdeführerin bringt vor, das Schiedsgericht habe in seinem Zwischenschiedsspruch vom 20. Dezember 2017 den von den Beschwerdegegnerinnen geltend gemachten Ansprüchen wegen Verletzung des in den einschlägigen Investitionsschutzabkommen enthaltenen Schutzstandards dem Grunde nach stattgegeben und zugleich angeordnet, dass die Beurteilung der Höhe des daraus resultierenden Schadenersatzanspruchs im Rahmen eines separaten Verfahrensabschnitts vorzunehmen sei. Dabei habe es das Schiedsgericht schlichtweg unterlassen, sich mit dem entscheidungserheblichen Rechtsvortrag der Beschwerdeführerin zum zwingend zu berücksichtigenden Anwendungsvorrang des Europarechts auseinanderzusetzen.</w:t>
      </w:r>
    </w:p>
    <w:p>
      <w:r>
        <w:t>Die Beschwerdeführerin habe im Schiedsverfahren ausführlich zur Bedeutung des Europarechts für die Entscheidungsfindung vorgetragen und dabei eindringlich auf den von den EU-Mitgliedstaaten vereinbarten Anwendungsvorrang des Europarechts gegenüber den einschlägigen Investitionsschutzabkommen verwiesen. Dabei habe sie insbesondere die sich aus dem Anwendungsvorrang des Europarechts ergebenden Folgen betont: So sei das Europarecht Teil des im Schiedsverfahren anwendbaren Rechts und die in den einschlägigen Investitionsschutzabkommen enthaltenen Schutzstandards, einschliesslich des Grundsatzes der gerechten und billigen Behandlung, seien im Lichte des Europarechts auszulegen, um einen Konflikt mit Letzterem zu vermeiden und so eine europarechtskonforme Anwendung sicherzustellen. Zudem könnten die entsprechenden Schutzstandards mit Blick auf den Vorrang des Europarechts keine Anwendung finden, wenn eine europarechtskonforme Auslegung nicht möglich sei und somit ein Konflikt mit Europarecht bestehe.</w:t>
      </w:r>
    </w:p>
    <w:p>
      <w:r>
        <w:rPr>
          <w:b/>
        </w:rPr>
        <w:t>E. 5.3</w:t>
      </w:r>
    </w:p>
    <w:p>
      <w:r>
        <w:t>Entgegen der von der Beschwerdeführerin vertretenen Ansicht sind dem Schiedsgericht ihre Vorbringen zum Anwendungsvorrang des Europarechts und dessen angebliche Auswirkung auf die in den einschlägigen Investitionsschutzabkommen enthaltenen Schutzstandards nicht entgangen. Wie sie selber einräumt, führt es die betreffenden Argumente zum Anwendungsvorrang des Europarechts im Zwischenentscheid vom 20. Dezember 2017 vielmehr im Einzelnen auf. Das Schiedsgericht weist im Rahmen seiner Beurteilung unter dem Titel "D. The Relevance of the EU State Aid Rules and Decisions" sodann eigens darauf hin, dass die Parteivorbringen zu diesem Thema sowohl die Frage der Haftung als auch diejenige der Höhe der Entschädigung beträfen, dass in diesem Verfahrensabschnitt jedoch nur auf die für die Haftbarkeit der Beschwerdeführerin massgebenden Punkte eingegangen werde. Aus den nachfolgenden Erwägungen ergibt sich, dass es dem Argument der Beschwerdeführerin nicht folgte, wonach EU-Recht der grundsätzlichen Haftbarkeit der Beschwerdeführerin entgegenstehe. Der Umstand, dass sich das Schiedsgericht in diesem Zusammenhang nicht ausdrücklich mit den - relativ allgemein gehaltenen - Vorbringen der Beschwerdeführerin im Einzelnen auseinandersetzte, bedeutet keine Gehörsverletzung.</w:t>
      </w:r>
    </w:p>
    <w:p>
      <w:r>
        <w:t>Im Übrigen erwog das Schiedsgericht im Endschiedsspruch unter dem Titel "F. EU State Aid Rules", mit der Beschwerdeführerin sei zwar davon auszugehen, dass die EU-Regeln betreffend staatliche Beihilfen im Rahmen der Bemessung des Schadenersatzes zu berücksichtigen seien, es wies jedoch ihren Einwand zurück, wonach gestützt darauf eine Entschädigung ganz zu verweigern sei. Damit brachte es einmal mehr zum Ausdruck, dass es dem Argument, wonach die vorgebrachten Argumente zu einem Ausschluss der Haftung insgesamt führen müssten, nicht folgte.</w:t>
      </w:r>
    </w:p>
    <w:p>
      <w:r>
        <w:t>Es trifft demnach nicht zu, dass das Schiedsgericht aufgrund eines Versehens oder eines Missverständnisses die Argumente der Beschwerdeführerin zum Vorrang des EU-Rechts unberücksichtigt gelassen hätte. Die Rüge der Gehörsverletzung ist unbegründet.</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