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66/2007 vom 13. Juli 2007</w:t>
      </w:r>
    </w:p>
    <w:p>
      <w:r>
        <w:t>Bundesgericht, 2007-07-13, DE</w:t>
      </w:r>
    </w:p>
    <w:p>
      <w:r>
        <w:rPr>
          <w:b/>
        </w:rPr>
        <w:t xml:space="preserve">Quelle: </w:t>
      </w:r>
      <w:r>
        <w:t>https://mcp.opencaselaw.ch/entscheid/bger_4A_66_2007</w:t>
      </w:r>
    </w:p>
    <w:p>
      <w:r>
        <w:t>FR: TF 4A 66/2007 du 13 juillet 2007</w:t>
      </w:r>
    </w:p>
    <w:p>
      <w:r>
        <w:t>IT: TF 4A 66/2007 del 13 luglio 2007</w:t>
      </w:r>
    </w:p>
    <w:p>
      <w:pPr>
        <w:pStyle w:val="Heading2"/>
      </w:pPr>
      <w:r>
        <w:t>Regeste</w:t>
      </w:r>
    </w:p>
    <w:p>
      <w:r>
        <w:t>Arbeitsvertrag; willkürliche Beweiswürdigung | Vertragsrecht</w:t>
      </w:r>
    </w:p>
    <w:p>
      <w:pPr>
        <w:pStyle w:val="Heading2"/>
      </w:pPr>
      <w:r>
        <w:t>Erwägungen</w:t>
      </w:r>
    </w:p>
    <w:p>
      <w:r>
        <w:rPr>
          <w:b/>
        </w:rPr>
        <w:t>E. 1.1</w:t>
      </w:r>
    </w:p>
    <w:p>
      <w:r>
        <w:t>Der Verfahrensantrag der Beschwerdeführerin auf Beizug sämtlicher Prozessakten ist gegenstandslos, da das Obergericht die in der Sache ergangenen Akten dem Bundesgericht bereits eingereicht hat.</w:t>
      </w:r>
    </w:p>
    <w:p>
      <w:r>
        <w:rPr>
          <w:b/>
        </w:rPr>
        <w:t>E. 1.2</w:t>
      </w:r>
    </w:p>
    <w:p>
      <w:r>
        <w:t>Das Bundesgesetz über das Bundesgericht vom 17. Juni 2005 (BGG; SR 173.110) ist am 1. Januar 2007 in Kraft getreten (AS 2006 1205, 1243). Dieses Gesetz ist auf die nach seinem Inkrafttreten eingeleiteten Verfahren des Bundesgerichts anwendbar, auf ein Beschwerdeverfahren jedoch nur dann, wenn auch der angefochtene Entscheid nach dem Inkrafttreten dieses Gesetzes ergangen ist ( Art. 132 Abs. 1 BGG ). Der Zirkulationsbeschluss des Kassationsgerichts erging am 14. Februar 2007 und damit nach dem für die Anwendung des BGG massgeblichen Datum vom 1. Januar 2007. Das Verfahren richtet sich somit nach dem BGG.</w:t>
      </w:r>
    </w:p>
    <w:p>
      <w:r>
        <w:rPr>
          <w:b/>
        </w:rPr>
        <w:t>E. 1.3</w:t>
      </w:r>
    </w:p>
    <w:p>
      <w:r>
        <w:t>Gegen den Entscheid des Obergerichts vom 11. Januar 2006 hat die Beschwerdeführerin Berufung erhoben. Diese ist - wie die Beschwerdeführerin in der Beschwerde ausführt - separat zu prüfen. Wurde ein Entscheid unter Geltung des OG sowohl mit staatsrechtlicher Beschwerde als auch mit Berufung angefochten, wurde die Behandlung der Berufung in der Regel ausgesetzt, bis über die staatsrechtliche Beschwerde entschieden worden war ( Art. 57 Abs. 5 OG ; BGE 122 I 81 E. 1 S. 82 f.). Analog ist vorliegend zunächst die Beschwerde in Zivilsachen zu behandeln.</w:t>
      </w:r>
    </w:p>
    <w:p>
      <w:r>
        <w:rPr>
          <w:b/>
        </w:rPr>
        <w:t>E. 1.4</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kann das Bundesgericht nur insofern prüfen, als eine solche Rüge in der Beschwerde präzis vorgebracht und begründet worden ist ( Art. 106 Abs. 2 BGG ). Die Feststellung des Sachverhalts kann nur gerügt werden, wenn sie offensichtlich unrichtig ist oder auf einer Rechtsverletzung im Sinne von Art. 95 BGG beruht und wenn die Behebung des Mangels für den Ausgang des Verfahrens entscheidend sein kann ( Art. 97 Abs. 1 BGG ). Auf ungenügend begründete Rügen und rein appellatorische Kritik tritt das Bundesgericht nicht ein.</w:t>
      </w:r>
    </w:p>
    <w:p>
      <w:r>
        <w:rPr>
          <w:b/>
        </w:rPr>
        <w:t>E. 2.1</w:t>
      </w:r>
    </w:p>
    <w:p>
      <w:r>
        <w:t>Vorliegend ist unbestritten, dass die Beschwerdeführerin nie die Absicht hatte, die Praxis von Dr. Z.________ allein zu übernehmen. Die Beschwerdeführerin rügt indes, das Obergericht habe willkürlich festgestellt, sie habe die Praxis nur mit dem Beschwerdegegner kaufen wollen. So macht sie insbesondere geltend, aus ihrer Aussage anlässlich der Hauptverhandlung vor dem Arbeitsgericht, sie wolle keine Doppelpraxis allein führen, könne nicht gefolgert werden, dass sie die Praxis nur mit dem Beschwerdegegner habe kaufen wollen. Zudem handle das Obergericht willkürlich, wenn es diese Aussage nicht im damaligen Kontext und ohne Berücksichtigung der Aussagen des Beschwerdegegners vor dem Arbeitsgericht, sie habe die Praxis selbst übernehmen wollen, prüfte. Die Feststellung des Obergerichts, aufgrund der Akten müsse davon ausgegangen werden, sie habe dem Beschwerdegegner nie mitgeteilt, dass sie die Praxis zusammen mit einer anderen Partnerin übernehmen wolle, sei ebenfalls willkürlich, da sich keiner Aktenstelle Entsprechendes entnehmen lasse. Willkürlich sei auch die Feststellung, der Beschwerdegegner sei im März 2003 davon ausgegangen, sie habe die Praxis nur mit ihm erwerben wollen. Indem der Beschwerdegegner erst in der Berufungsbegründung behauptet habe, sie wolle die Praxis allein, d.h. ohne ihn gar nicht erwerben, sieht die Beschwerdeführerin das Novenverbot gemäss § § 114, 115 und 267 ZPO /ZH grob missachtet und dadurch Art. 9 BV sowie eventuell das rechtliche Gehör gemäss Art. 29 BV verletzt. Der Zirkulationsbeschluss des Kassationsgerichts sei willkürlich, da dieser das Urteil des Obergerichts mit nicht nachvollziehbaren Begründungen bestätige.</w:t>
      </w:r>
    </w:p>
    <w:p>
      <w:r>
        <w:rPr>
          <w:b/>
        </w:rPr>
        <w:t>E. 2.2</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dass eine andere Lösung ebenfalls als vertretbar oder gar zutreffender erscheint, genügt nicht ( BGE 132 III 209 E. 2.1 ; 131 I 57 E. 2 S. 61, 217 E. 2.1, 467 E. 3.1 S. 473 f. ; 129 I 8 E. 2.1 mit Hinweisen). Die den Willkürvorwurf begründenden Elemente sind in der Beschwerdeschrift im Einzelnen aufzuzeigen (vgl. Erwägung 1.4).</w:t>
      </w:r>
    </w:p>
    <w:p>
      <w:r>
        <w:rPr>
          <w:b/>
        </w:rPr>
        <w:t>E. 2.3</w:t>
      </w:r>
    </w:p>
    <w:p>
      <w:r>
        <w:t>Dass nicht bloss die Begründung des Entscheids, sondern auch das Ergebnis unhaltbar ist, legt die Beschwerdeführerin nicht rechtsgenüglich dar. Sie führt lediglich pauschal aus, die ihres Erachtens willkürlichen Sachverhaltsfeststellungen hätten direkte Auswirkungen auf das Urteil des Obergerichts und den Beschluss des Kassationsgerichts, da die beiden Entscheide genau wegen den gerügten Feststellungen zu ihren Ungunsten ausgefallen seien. Das Obergericht habe nämlich ausgeführt, die unzutreffenden Angaben des Beschwerdegegners über den Wert der Praxis seien ohne Relevanz gewesen und hätten die Beschwerdeführerin von einem Kauf der Praxis nicht abhalten können, nachdem sie die Praxis nur mit dem Beschwerdegegner habe kaufen wollen, dieser für eine Partnerschaft aber nicht zur Verfügung gestanden sei. Damit liege keine Treuepflichtverletzung des Beschwerdegegners vor und die fristlose Kündigung sei nicht berechtigt. Die Beschwerdeführerin zeigt indes nicht auf, inwiefern der Entscheid bei der aus ihrer Sicht korrekten Sachverhaltsfeststellung, dass sie die Praxis nicht ausschliesslich nur mit dem Beschwerdeführer, sondern auch mit einer anderen Person habe kaufen wollen, im Ergebnis ändern würde, d.h. inwiefern gestützt auf den entsprechend korrigierten Sachverhalt eine Treuepflichtverletzung zu bejahen und eine fristlose Kündigung als gerechtfertigt zu erachten wäre. Demnach kann wegen mangelnder Begründung nicht auf die entsprechenden Rügen eingetreten werden. Ebenso ist mangels Begründung der Entscheidrelevanz auf das Vorbringen der Beschwerdeführerin nicht einzutreten, dass - falls die aus ihrer Sicht unzulässige Novenbehauptung des Beschwerdegegners, sie habe die Praxis nicht ohne ihn erwerben wollen, zulässig sein sollte - ihr das Obergericht das rechtliche Gehör verweigert habe, indem es ihr keine Gelegenheit zur Stellungnahme einräumte (vgl. Urteil 4P.189/2002 vom 9. Dezember 2002, E. 3.2.3, Pra 92/2003 Nr. 130 S. 689 ff.).</w:t>
      </w:r>
    </w:p>
    <w:p>
      <w:r>
        <w:rPr>
          <w:b/>
        </w:rPr>
        <w:t>E. 3</w:t>
      </w:r>
    </w:p>
    <w:p>
      <w:r>
        <w:t>Weiter rügt die Beschwerdeführerin als willkürlich, dass das Obergericht erklärt habe, die Wünsche und Bedürfnisse der Zahnarztpatienten würden in der Regel nicht den zahnbehandlungstechnischen Bereich betreffen. Da nicht restlos klar sei, ob sich das Obergericht zum konkreten Fall oder im Sinne einer unzutreffenden allgemeinen Lebenserfahrung habe äussern wollen, moniere sie die Unrichtigkeit der entsprechenden Behauptungen des Obergerichts sowohl mit Berufung als auch mit kantonaler Nichtigkeitsbeschwerde resp. nun mit Beschwerde in Zivilsachen. Wie das Kassationsgericht zu Recht entschieden hat, sind die fraglichen Ausführungen des Obergerichts als allgemeine Äusserungen zur Frage, welche Elemente bei der Wahl eines Zahnarztes durch den Patienten bzw. bei einem Zahnarztwechsel eine Rolle spielen, und somit als Frage der allgemeinen Lebenserfahrung ohne Bezug zum konkreten Fall zu sehen. Mit der entsprechenden Rüge wird die Beschwerdegegnerin demnach in der von ihr erhobenen Berufung gehört.</w:t>
      </w:r>
    </w:p>
    <w:p>
      <w:r>
        <w:rPr>
          <w:b/>
        </w:rPr>
        <w:t>E. 4</w:t>
      </w:r>
    </w:p>
    <w:p>
      <w:r>
        <w:t>Aus diesen Gründen ist auf die Beschwerde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