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668/2012 vom 11. März 2013</w:t>
      </w:r>
    </w:p>
    <w:p>
      <w:r>
        <w:t>Bundesgericht, 2013-03-11, FR</w:t>
      </w:r>
    </w:p>
    <w:p>
      <w:r>
        <w:rPr>
          <w:b/>
        </w:rPr>
        <w:t xml:space="preserve">Quelle: </w:t>
      </w:r>
      <w:r>
        <w:t>https://mcp.opencaselaw.ch/entscheid/bger_4A_668_2012</w:t>
      </w:r>
    </w:p>
    <w:p>
      <w:r>
        <w:t>FR: TF 4A 668/2012 du 11 mars 2013</w:t>
      </w:r>
    </w:p>
    <w:p>
      <w:r>
        <w:t>IT: TF 4A 668/2012 del 11 marzo 2013</w:t>
      </w:r>
    </w:p>
    <w:p>
      <w:pPr>
        <w:pStyle w:val="Heading2"/>
      </w:pPr>
      <w:r>
        <w:t>Regeste</w:t>
      </w:r>
    </w:p>
    <w:p>
      <w:r>
        <w:t>bail à loyer; résiliation | Droit des contrats</w:t>
      </w:r>
    </w:p>
    <w:p>
      <w:pPr>
        <w:pStyle w:val="Heading2"/>
      </w:pPr>
      <w:r>
        <w:t>Erwägungen</w:t>
      </w:r>
    </w:p>
    <w:p>
      <w:r>
        <w:rPr>
          <w:b/>
        </w:rPr>
        <w:t>E. 1</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supérieur à 3'000 fr., la valeur litigieuse minimum de 15'000 fr. ( art. 74 al. 1 let. a LTF ) est atteinte. Pour le surplus, le recours est dirigé contre une décision finale ( art. 90 LTF ), rendue en dernière instance cantonale ( art. 75 al. 1 LTF ) et susceptible du recours en matière civile ( art. 72 al. 1 LTF ); ce recours est donc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 bail à loyer aux termes de l' art. 253 CO . La recourante conteste la validité du congé qui lui a été notifié, qu'elle tient pour hâtif.</w:t>
      </w:r>
    </w:p>
    <w:p>
      <w:r>
        <w:rPr>
          <w:b/>
        </w:rPr>
        <w:t>E. 3</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 Selon la jurisprudence, le bailleur doit attendre l'expiration du délai de paiement qu'il a fixé dans la sommation; c'est ensuite seulement, si le paiement n'a pas été exécuté, qu'il peut valablement résilier le contrat sans avoir à observer les délais et termes de congé ordinaires. Une résiliation que le bailleur signifierait avant l'expiration du délai de paiement, même subordonnée à une condition résolutoire ayant pour objet l'exécution dans ce délai, n'est en principe pas valable ( ATF 119 II 147 consid. 3 p. 150). Le Tribunal fédéral admet cependant la validité d'une résiliation que le bailleur envoie avant l'échéance, si le locataire ne la reçoit qu'après, n'a pas exécuté le paiement et n'a pas été détourné de l'exécuter par le comportement du bailleur (arrêts 4A_451/2011 du 29 novembre 2011, consid. 4.2; 4A_585/2010 du 2 février 2011, consid. 3.5). Le Tribunal fédéral a d'ailleurs aussi admis la validité d'une résiliation que le locataire avait reçue le dernier jour du délai (arrêt 4C.124/2005 du 26 juillet 2005, consid. 3.3). En l'espèce, d'après les constatations de fait déterminantes selon l' art. 105 al. 1 LTF , la recourante a reçu la sommation le 21 février 2012. Fixé à trente jours, le délai de paiement est arrivé à expiration le 22 mars suivant (art. 77 al. 1 ch. 1, 77 al. 2 CO). La recourante a reçu la résiliation plus tard, le 29 mars, et elle n'avait alors exécuté aucun paiement, même partiel. Cette résiliation est donc valable au regard de l' art. 257d al. 2 CO , alors même que l'intimée l'a envoyée avant l'expiration du délai de paiement. La recourante affirme que la sommation ne lui a pas été envoyée uniquement par lettre recommandée mais aussi par lettre ordinaire, et que cet envoi-ci lui est parvenu le 22 mars déjà, soit près d'une semaine avant l'échéance du délai de paiement. La recourante n'a cependant pas introduit cette allégation déjà au stade de sa défense devant le Juge de paix, mais seulement en appel, et les juges d'appel l'ont déclarée tardive au regard de l' art. 317 al. 1 let. b CPC . En tant que la recourante se plaint d'une application incorrecte de cette dernière disposition, son argumentation est inintelligible et elle ne répond donc pas aux exigences de l' art. 42 al. 1 et 2 LTF relatif à la motivation des recours adressés au Tribunal fédéral. En tant que la recourante se prévaut de droit d'être entendu consacré par l' art. 29 al. 2 Cst. , ce moyen est voué à l'échec car la garantie invoquée ne porte que sur les allégations et offres de preuves introduites en temps utile d'après le droit de procédure applicable (arrêt 4A_252/2011 du 22 août 2011, consid. 2.2). La cour de céans doit donc s'en tenir aux faits constatés dans la décision attaquée.</w:t>
      </w:r>
    </w:p>
    <w:p>
      <w:r>
        <w:rPr>
          <w:b/>
        </w:rPr>
        <w:t>E. 4</w:t>
      </w:r>
    </w:p>
    <w:p>
      <w:r>
        <w:t>Le recours se révèle privé de fondement, dans la mesure où les moyens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