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4A_666/2011 vom 13. März 2012</w:t>
      </w:r>
    </w:p>
    <w:p>
      <w:r>
        <w:t>Bundesgericht, 2012-03-13, FR</w:t>
      </w:r>
    </w:p>
    <w:p>
      <w:r>
        <w:rPr>
          <w:b/>
        </w:rPr>
        <w:t xml:space="preserve">Quelle: </w:t>
      </w:r>
      <w:r>
        <w:t>https://mcp.opencaselaw.ch/entscheid/bger_4A_666_2011</w:t>
      </w:r>
    </w:p>
    <w:p>
      <w:r>
        <w:t>FR: TF 4A_666/2011 du 13 mars 2012</w:t>
      </w:r>
    </w:p>
    <w:p>
      <w:r>
        <w:t>IT: TF 4A_666/2011 del 13 marzo 2012</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Son auteur a pris part à l'instance précédente et succombé dans ses conclusions ( art. 76 al. 1 LTF ). La valeur litigieuse excède le minimum légal de 30'000 fr. (art. 51 al. 1 let. a et 74 al. 1 let. b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136 II 489 consid. 2.8 p. 494; 130 I 258 consid. 1.3 p. 261/262).</w:t>
      </w:r>
    </w:p>
    <w:p>
      <w:r>
        <w:rPr>
          <w:b/>
        </w:rPr>
        <w:t>E. 2</w:t>
      </w:r>
    </w:p>
    <w:p>
      <w:r>
        <w:t>Il est constant que le 28 juin 2007, A.________ a conclu un contrat mixte de vente et de donation d'immeuble avec les défendeurs.</w:t>
      </w:r>
    </w:p>
    <w:p>
      <w:r>
        <w:t>A teneur de l' art. 23 CO , un contrat n'oblige pas celle des parties qui, au moment de conclure, se trouvait dans une erreur essentielle. Selon l' art. 24 al. 1 ch. 4 CO , parmi d'autres cas,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 ATF 136 III 528 consid. 3.4.1 p. 531; 135 III 537 consid. 2.2 p. 541/542; 132 III 737 consid. 1.3 p. 741).</w:t>
      </w:r>
    </w:p>
    <w:p>
      <w:r>
        <w:t>L'erreur essentielle de l' art. 24 al. 1 ch. 4 CO peut porter sur un fait futur, mais seulement si, lors de la conclusion du contrat, ce fait pouvait objectivement être tenu pour certain; l'erreur est au contraire exclue lorsque le fait futur était expectatif ou aléatoire ( ATF 118 II 297 ; Bruno Schmidlin, in Commentaire bernois, nos 202 à 210 ad art. 23 et 24 CO ).</w:t>
      </w:r>
    </w:p>
    <w:p>
      <w:r>
        <w:rPr>
          <w:b/>
        </w:rPr>
        <w:t>E. 3</w:t>
      </w:r>
    </w:p>
    <w:p>
      <w:r>
        <w:t>Selon la thèse de la demanderesse, A.________ croyait par erreur, au moment de céder sa villa, que les défendeurs allaient s'occuper d'elle et l'entourer jusqu'à son décès, ce qu'ils n'ont pas fait. Selon les constatations de la Cour de justice, A.________ pensait que les défendeurs continueraient à s'occuper d'elle comme ils l'avaient fait précédemment, mais elle ne considérait pas leur sollicitude comme un élément nécessaire à la conclusion du contrat; en conséquence, la Cour juge que la déception de cette cocontractante, déception elle aussi constatée, ne l'autorise pas à revenir sur sa libéralité.</w:t>
      </w:r>
    </w:p>
    <w:p>
      <w:r>
        <w:t>A l'appui du recours en matière civile, la demanderesse développe une critique dont la recevabilité est douteuse au regard de la jurisprudence précitée relative à l' art. 97 al. 1 LTF . La discussion qu'elle propose est de toute manière vaine car les soins et la bienveillance futurs des acquéreurs de la villa, tels que la venderesse et donatrice de ce bien les espérait, étaient des faits très hautement expectatifs et aléatoires, au surplus abstraits, sur lesquels nul ne pouvait objectivement compter avec certitude. Ces faits sont donc dépourvus de pertinence au regard de l' art. 24 al. 1 ch. 4 CO , alors même que A.________ les tenait peut-être pour essentiels. Quelle que soit la validité des constatations critiquées, la Cour parvient à une décision conforme à cette disposition de droit fédéral.</w:t>
      </w:r>
    </w:p>
    <w:p>
      <w:r>
        <w:rPr>
          <w:b/>
        </w:rPr>
        <w:t>E. 4</w:t>
      </w:r>
    </w:p>
    <w:p>
      <w:r>
        <w:t>Le recours se révèle privé de fondement, dans la mesure où l'argumentation présentée est recevable. A titre de partie qui succombe, son auteur doit acquitter l'émolument à percevoir par le Tribunal fédéral et les dépens auxquels ses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