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4A_664/2020 vom 5. Februar 2021</w:t>
      </w:r>
    </w:p>
    <w:p>
      <w:r>
        <w:t>Bundesgericht, 2021-02-05, DE</w:t>
      </w:r>
    </w:p>
    <w:p>
      <w:r>
        <w:rPr>
          <w:b/>
        </w:rPr>
        <w:t xml:space="preserve">Quelle: </w:t>
      </w:r>
      <w:r>
        <w:t>https://mcp.opencaselaw.ch/entscheid/bger_4A_664_2020</w:t>
      </w:r>
    </w:p>
    <w:p>
      <w:r>
        <w:t>FR: TF 4A_664/2020 du 5 février 2021</w:t>
      </w:r>
    </w:p>
    <w:p>
      <w:r>
        <w:t>IT: TF 4A_664/2020 del 5 febbraio 2021</w:t>
      </w:r>
    </w:p>
    <w:p>
      <w:pPr>
        <w:pStyle w:val="Heading2"/>
      </w:pPr>
      <w:r>
        <w:t>Erwägungen</w:t>
      </w:r>
    </w:p>
    <w:p>
      <w:r>
        <w:rPr>
          <w:b/>
        </w:rPr>
        <w:t>E. 1</w:t>
      </w:r>
    </w:p>
    <w:p>
      <w:r>
        <w:t>Der Beschwerdegegner stellte am 5. August 2020 am Handelsgericht des Kantons Zürich das Gesuch, infolge Mängel in der gesetzlich zwingend vorgeschriebenen Organisation der Beschwerdeführerin seien die erforderlichen Massnahmen zu ergreifen. Nachdem der Beschwerdeführerin erfolglos Frist zur Mängelbehebung angesetzt wurde, entschied das Handelsgericht mit Urteil vom 8. Oktober 2020, die Beschwerdeführerin aufgrund von Organisationsmängel aufzulösen und ihre Liquidation nach den Vorschriften über den Konkurs anzuordnen.</w:t>
      </w:r>
    </w:p>
    <w:p>
      <w:r>
        <w:t>Am 13. November 2020 stellte die Beschwerdeführerin am Handelsgericht ein Gesuch um Wiederherstellung der Frist zur Mängelbehebung. Nachdem der Beschwerdegegner mitteilte, dass die entsprechende Eintragung vorgenommen und publiziert sei, hiess die Einzelrichterin des Handelsgerichts mit Verfügung vom 15. Dezember 2020 das Fristwiederherstellungsgesuch gut und hob das Urteil vom 8. Oktober 2020 auf. Da die Mängelhebung bereits abschliessend erfolgen konnte, schrieb das Handelsgericht das Verfahren zufolge Gegenstandslosigkeit ab und auferlegte die Prozesskosten der Beschwerdeführerin. Diese habe die Ursache für die Einleitung des Verfahrens gesetzt, indem sie monatelang auf dem Postweg nicht erreichbar und nicht dafür besorgt gewesen sei, gesetzeskonforme Organe aufzuweisen.</w:t>
      </w:r>
    </w:p>
    <w:p>
      <w:r>
        <w:t>Gegen letzteren Kostenentscheid erhob die Beschwerdeführerin mit Eingabe vom 24. Dezember 2020 Beschwerde an das Bundesgericht.</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schildert in ihrer einseitigen Eingabe in frei gehaltenen Ausführungen ihre Sicht der Dinge, wonach nie ein Organisationsmangel bestanden und der Beschwerdegegner es unterlassen habe, ihre beiden Verwaltungsräte zu kontaktieren. Sie geht damit über die Sachverhaltsfeststellungen den Vorinstanz hinaus, ohne eine Sachverhaltsrüge nach den oben genannten Grundsätzen zu erheben (Erwägung 2.2). Inwiefern die Vorinstanz gestützt auf den festgestellten Sachverhalt Bundesrecht verletzt hätte, legt die Beschwerdeführerin nicht dar, zumindest offensichtlich nicht hinreichend (Erwägung 2.1).</w:t>
      </w:r>
    </w:p>
    <w:p>
      <w:r>
        <w:t>Auf die Beschwerde ist mangels hinreichender Begründung nicht einzutreten ( Art. 108 Abs. 1 lit. b BGG ).</w:t>
      </w:r>
    </w:p>
    <w:p>
      <w:r>
        <w:rPr>
          <w:b/>
        </w:rPr>
        <w:t>E. 4</w:t>
      </w:r>
    </w:p>
    <w:p>
      <w:r>
        <w:t>Bei diesem Ausgang des Verfahrens sind die Gerichtskosten der Beschwerdeführerin aufzuerlegen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