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4A_662/2024 vom 8. April 2025</w:t>
      </w:r>
    </w:p>
    <w:p>
      <w:r>
        <w:t>Bundesgericht, 2025-04-08, FR</w:t>
      </w:r>
    </w:p>
    <w:p>
      <w:r>
        <w:rPr>
          <w:b/>
        </w:rPr>
        <w:t xml:space="preserve">Quelle: </w:t>
      </w:r>
      <w:r>
        <w:t>https://mcp.opencaselaw.ch/entscheid/bger_4A_662_2024</w:t>
      </w:r>
    </w:p>
    <w:p>
      <w:r>
        <w:t>FR: TF 4A_662/2024 du 8 avril 2025</w:t>
      </w:r>
    </w:p>
    <w:p>
      <w:r>
        <w:t>IT: TF 4A_662/2024 del 8 aprile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 115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Le litige porte exclusivement sur les heures supplémentaires dont la recourante réclame le paiement. Elle reproche aux juges cantonaux d'avoir établi les faits de manière arbitraire et d'avoir violé les art. 321c et 42 al. 2 CO en niant son droit à la rétribution de ses heures supplémentaires.</w:t>
      </w:r>
    </w:p>
    <w:p>
      <w:r>
        <w:rPr>
          <w:b/>
        </w:rPr>
        <w:t>E. 3.1</w:t>
      </w:r>
    </w:p>
    <w:p>
      <w:r>
        <w:t>Conformément à l' art. 8 CC , il appartient au travailleur de prouver qu'il a accompli des heures supplémentaires et, en plus, que celles-ci ont été ordonnées par l'employeur ou étaient nécessaires à la sauvegarde des intérêts légitimes de ce dernier (cf. art. 321c al. 1 CO ; ATF 129 III 171 consid. 2.4; arrêt 4A_138/2023 du 12 juin 2023 consid. 4.2).</w:t>
      </w:r>
    </w:p>
    <w:p>
      <w:r>
        <w:t>Lorsqu'il effectue spontanément des heures supplémentaires commandées par les circonstances, le travailleur doit en principe les déclarer dans un délai utile, afin de permettre à l'employeur, d'une part, de prendre d'éventuelles mesures d'organisation pour éviter des heures supplémentaires à l'avenir et, d'autre part, d'approuver un tel travail ( ATF 129 III 171 consid. 2.2; arrêts 4A_138/2023 précité consid. 4.2; 4A_184/2018 du 28 février 2019 consid. 2.2.2). Si le travailleur tarde à annoncer les heures supplémentaires et accepte sans réserve le paiement de son salaire afférent à la période concernée, il risque d'être déchu du droit de réclamer ultérieurement le paiement de ces heures supplémentaires ( ATF 129 III 171 consid. 2.3; arrêt 4A_184/2018 précité consid. 2.2.2).</w:t>
      </w:r>
    </w:p>
    <w:p>
      <w:r>
        <w:t>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(lors de la première période de salaire) du nombre d'heures supplémentaires exact n'est alors pas indispensable à la rémunération de celles-ci ( ATF 129 III 171 consid. 2.3; arrêts 4A_184/2018 précité consid. 2.2.2; 4A_28/2018 du 12 septembre 2018 consid. 5; 4A_482/2017 du 17 juillet 2018 consid. 2.1). Ainsi, si le travailleur peut partir de l'idée que l'employeur est conscient de la nécessité d'exécuter des heures supplémentaires, il est autorisé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a été convenue ( ATF 129 III 171 consid. 2.3; arrêt précité 4A_184/2018 consid. 2.2.2).</w:t>
      </w:r>
    </w:p>
    <w:p>
      <w:r>
        <w:rPr>
          <w:b/>
        </w:rPr>
        <w:t>E. 3.2</w:t>
      </w:r>
    </w:p>
    <w:p>
      <w:r>
        <w:t>Premièrement, la cour cantonale a relevé qu'il n'existait pas d'éléments concrets permettant de retenir que les intimés avaient connaissance du fait que la recourante effectuait des heures supplémentaires. Deuxièmement, la cour cantonale a expliqué que même s'il devait être admis qu'ils étaient au courant de la réalisation d'heures supplémentaires, il résultait de la jurisprudence que la recourante ne pouvait pas attendre indéfiniment pour les chiffrer. Or, l'intéressée avait accepté son salaire sans réserve pendant de nombreuses années et n'avait annoncé ses heures supplémentaires qu'après avoir été licenciée, de sorte que sa prétention apparaissait abusive. Troisièmement, la cour cantonale a retenu que même si l'annonce dans un délai raisonnable devait être admise, la recourante n'avait pas pu prouver la quotité des heures dont elle réclamait la rétribution.</w:t>
      </w:r>
    </w:p>
    <w:p>
      <w:r>
        <w:rPr>
          <w:b/>
        </w:rPr>
        <w:t>E. 3.3</w:t>
      </w:r>
    </w:p>
    <w:p>
      <w:r>
        <w:t>S'agissant de la deuxième motivation proposée par la cour cantonale, la recourante soulève que puisque les intimés savaient qu'elle exécutait des heures supplémentaires, une éventuelle absence d'annonce de ces heures ne jouait aucun rôle. Tel n'est pas le cas. Même si, dans cette hypothèse, les intimés connaissaient la nécessité d'effectuer un certain nombre d'heures supplémentaires, cela ne libérerait pas pour autant la recourante de son devoir d'annonce. Cela l'autoriserait seulement à ne pas avoir à chiffrer rapidement ses heures supplémentaires exactes. Elle ne pouvait toutefois pas attendre plusieurs années pour indiquer, en 2021, un nombre de 2'572 heures supplémentaires effectuées depuis 2015, sans jamais avoir fait état d'une quelconque quotité auparavant. La cour cantonale était ainsi fondée à retenir que la prétention apparaissait abusive.</w:t>
      </w:r>
    </w:p>
    <w:p>
      <w:r>
        <w:t>La recourante soutient ensuite qu'il ressort du dossier qu'elle n'a pas attendu des années avant de "formuler ses prétentions"; seulement, l'intimé D.________ n'y avait jamais donné suite, prétextant qu'elle bénéficiait déjà d'un logement bon marché. Elle souligne encore qu'elle se trouvait dans une situation financière précaire et ne pouvait pas se permettre de perdre son travail et son logement. Or, c'est la tardiveté de l'annonce par la recourante de la quotité d'heures supplémentaires effectuées qui lui est reprochée (et non la tardiveté de la demande d'indemnisation de ces mêmes heures; cf. ATF 29 III 171 consid. 2.4; arrêt 4A_184/2018 consid. 2.2.2). Toutefois, la recourante se limite à affirmer au gré de son recours qu'elle s'est plainte aux intimés du fait qu'elle travaillait trop ou qu'elle "faisai (t) beaucoup d'heures". Indépendamment de la recevabilité de ces éléments, on observe qu'elle ne prétend pas, références précises à ses écritures et aux pièces du dossier à l'appui, qu'elle leur avait communiqué le nombre d'heures supplémentaires réalisées. Au demeurant, on peut relever que même s'il ressort des faits constatés par la cour cantonale l'existence d'un décompte d'heures établi par la recourante pour l'année 2019, cela n'y change rien; en effet, les intimés ont fait valoir devant la cour cantonale qu'ils n'auraient découvert le décompte que dans le cadre de la procédure judiciaire et la cour cantonale a elle-même indiqué qu'il avait été établi pour les besoins de la procédure. La recourante ne s'en prévaut d'ailleurs même pas.</w:t>
      </w:r>
    </w:p>
    <w:p>
      <w:r>
        <w:t>Dès lors, c'est à bon droit que la cour cantonale a nié les prétentions de la recourante en rétribution d'heures supplémentaires.</w:t>
      </w:r>
    </w:p>
    <w:p>
      <w:r>
        <w:t>La deuxième motivation exposée par la cour cantonale permet à elle seule de sceller le sort de la cause. Il n'y a donc pas besoin d'examiner les griefs dirigés contre les autres motivations présentées.</w:t>
      </w:r>
    </w:p>
    <w:p>
      <w:r>
        <w:rPr>
          <w:b/>
        </w:rPr>
        <w:t>E. 4</w:t>
      </w:r>
    </w:p>
    <w:p>
      <w:r>
        <w:t>En définitive, le recours doit être rejeté dans la mesure de sa recevabilité.</w:t>
      </w:r>
    </w:p>
    <w:p>
      <w:r>
        <w:t>La recourante, qui succombe, prendra en charge les frais judiciaires ( art. 66 al. 1 LTF ). En revanche, elle n'aura pas à indemniser les intimés, lesquels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