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4A_661/2024 vom 2. Juni 2025</w:t>
      </w:r>
    </w:p>
    <w:p>
      <w:r>
        <w:t>Bundesgericht, 2025-06-02, FR</w:t>
      </w:r>
    </w:p>
    <w:p>
      <w:r>
        <w:rPr>
          <w:b/>
        </w:rPr>
        <w:t xml:space="preserve">Quelle: </w:t>
      </w:r>
      <w:r>
        <w:t>https://mcp.opencaselaw.ch/entscheid/bger_4A_661_2024</w:t>
      </w:r>
    </w:p>
    <w:p>
      <w:r>
        <w:t>FR: TF 4A_661/2024 du 2 juin 2025</w:t>
      </w:r>
    </w:p>
    <w:p>
      <w:r>
        <w:t>IT: TF 4A_661/2024 del 2 giugno 2025</w:t>
      </w:r>
    </w:p>
    <w:p>
      <w:pPr>
        <w:pStyle w:val="Heading2"/>
      </w:pPr>
      <w:r>
        <w:t>Erwägungen</w:t>
      </w:r>
    </w:p>
    <w:p>
      <w:r>
        <w:rPr>
          <w:b/>
        </w:rPr>
        <w:t>E. 1</w:t>
      </w:r>
    </w:p>
    <w:p>
      <w:r>
        <w:t>Interjeté en temps utile ( art. 100 al. 1 LTF ) par la partie qui a succombé dans ses conclusions ( art. 76 al. 1 LTF ) et dirigé contre un arrêt final ( art. 90 LTF ) rendu sur appel par un tribunal cantonal supérieur ( art. 75 LTF ) dans une affaire pécuniaire dont la valeur litigieuse dépasse le seuil de 30'000 fr. requis en la matière ( art. 74 al. 1 let. b LTF ), le recours en matière civile est recevable au regard de ces dispositions. Demeure réservée, à ce stade, la recevabilité des griefs soulevés par le recourant.</w:t>
      </w:r>
    </w:p>
    <w:p>
      <w:r>
        <w:rPr>
          <w:b/>
        </w:rPr>
        <w:t>E. 2.1</w:t>
      </w:r>
    </w:p>
    <w:p>
      <w:r>
        <w:t>Le recours en matière civile peut être exercé pour violation du droit fédéral ( art. 95 let. a LTF ), y compris le droit constitutionnel ( ATF 136 I 241 consid. 2.1).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w:t>
      </w:r>
    </w:p>
    <w:p>
      <w:r>
        <w:rPr>
          <w:b/>
        </w:rPr>
        <w:t>E. 2.2.1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Encore faut-il que la correction du vice soit susceptible d'influer sur le sort de la cause ( art. 97 al. 1 LTF ). La critique de l'état de fait retenu est soumise au principe strict de l'allégation énoncé par l' art. 106 al. 2 LTF . La partie qui entend attaquer les faits constatés par l'autorité précédente doit expliquer clairement et de manière circonstanciée en quoi les conditions précitées seraient réalisées ( ATF 140 III 16 consid. 1.3.1). Les critiques de nature appellatoire sont irrecevables ( ATF 140 III 264 consid. 2.3).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ATF 140 III 86 consid. 2).</w:t>
      </w:r>
    </w:p>
    <w:p>
      <w:r>
        <w:rPr>
          <w:b/>
        </w:rPr>
        <w:t>E. 2.2.2</w:t>
      </w:r>
    </w:p>
    <w:p>
      <w:r>
        <w:t>Le recourant se livre à une libre présentation des faits sur plusieurs pages de son mémoire. Ce faisant, il n'articule aucun grief recevable.</w:t>
      </w:r>
    </w:p>
    <w:p>
      <w:r>
        <w:rPr>
          <w:b/>
        </w:rPr>
        <w:t>E. 3</w:t>
      </w:r>
    </w:p>
    <w:p>
      <w:r>
        <w:t>Le recourant se plaint d'une violation des art. 316 et 317 CPC et d'une violation de son droit d'être entendu. Il reproche à la cour cantonale de n'avoir pas indiqué dans son état de fait qu'il avait déposé une requête de nova le 2 septembre 2024 et que sa requête se serait heurtée à un refus d'entrer en matière implicite qui violerait les dispositions précitées.</w:t>
      </w:r>
    </w:p>
    <w:p>
      <w:r>
        <w:rPr>
          <w:b/>
        </w:rPr>
        <w:t>E. 3.1</w:t>
      </w:r>
    </w:p>
    <w:p>
      <w:r>
        <w:t>Contrairement à ce que suppose le recourant, le refus de la cour cantonale n'a rien d'implicite. Elle a déclaré irrecevable la requête de nova par décision du 3 septembre 2024, exposant que par ordonnance du 12 juin 2024 la cour avait avisé les parties que l'affaire était appointée à jugement entre les mois d'août et octobre 2024 et qu'il serait statué sans débat ce qui signifiait que l'on se trouvait dans la phase des délibérations. Cela avait encore été rappelé au recourant dans une ordonnance du 14 août 2024 rejetant la tenue d'une audience. Dès lors que la phase des délibérations avait commencé, les faits et moyens de preuve nouveaux (vrais ou pseudo nova) étaient exclus, conformément à la jurisprudence ( ATF 143 III 272 consid. 2.3.2).</w:t>
      </w:r>
    </w:p>
    <w:p>
      <w:r>
        <w:t>Il n'est pas déterminant que cette décision n'ait pas été reprise dans l'arrêt attaqué et le recourant ne dit pas en quoi cela le serait. Il lui est loisible de mettre en cause cette décision incidente dans le cadre de son recours au fond ( art. 93 al. 3 LTF ).</w:t>
      </w:r>
    </w:p>
    <w:p>
      <w:r>
        <w:rPr>
          <w:b/>
        </w:rPr>
        <w:t>E. 3.2.1</w:t>
      </w:r>
    </w:p>
    <w:p>
      <w:r>
        <w:t>Devant la cour d'appel, les faits et moyens de preuve nouveaux doivent, en règle générale, être introduits dans le cadre du premier échange d'écritures. Ils peuvent l'être exceptionnellement à un stade ultérieur, aux conditions de l' art. 317 al. 1 CPC , mais pas au-delà du début des délibérations. La phase des délibérations débute dès la clôture des débats, s'il y en a eu, respectivement dès que l'autorité d'appel a communiqué aux parties que la cause a été gardée à juger. Dans l'hypothèse où l'autorité d'appel rend une décision par laquelle elle renonce à un second échange d'écritures et à des débats, il y a lieu de considérer que la cause est en état d'être jugée et que la phase des délibérations a commencé ( ATF 143 III 272 consid. 2.3.2; 142 III 413 consid. 2.2.3-2.2.6). Sont donc des faits antérieurs (ou des pseudo-nova; unechte Noven) les faits qui existaient déjà au moment du début des délibérations de la cour d'appel, en particulier au moment où elle a communiqué, par ordonnance d'instruction, que la cause était gardée à juger, alors que sont des faits postérieurs (ou vrais nova; echte Noven) les faits qui se sont produits après ce moment-là ( ATF 143 III 272 consid. 2.3.2). Si la cour d'appel peut décider d'office, en revenant sur son ordonnance d'instruction, de rouvrir la procédure d'administration des preuves pour tenir compte de faits nouveaux, en particulier de vrais nova qui se sont produits subséquemment (cf. ATF 138 III 788 consid. 5), les parties n'ont pas un droit à la réouverture de la procédure probatoire ( ATF 143 III 272 consid. 2.3.2 in fine).</w:t>
      </w:r>
    </w:p>
    <w:p>
      <w:r>
        <w:rPr>
          <w:b/>
        </w:rPr>
        <w:t>E. 3.2.2</w:t>
      </w:r>
    </w:p>
    <w:p>
      <w:r>
        <w:t>Le recourant a été informé par ordonnance du 12 juin 2024 que la cour était entrée en délibération, ce qui lui a été confirmé par une nouvelle ordonnance du 14 août 2024. Autrement dit, le recourant a été dûment informé que la cause était gardée à juger. Que l'ordonnance du 12 juin 2024 ait mentionné que la cause était appointée à jugement entre les mois d'août et octobre 2024 constitue une indication sur le moment où l'arrêt serait rendu mais ne change rien à l'entrée en délibération. À partir du 12 juin 2024 respectivement du 14 août 2024, la cause a été gardée à juger. Conformément à la jurisprudence précitée, l'introduction de tout nova était exclue après cette phase. Le recourant ne fournit aucun argument pour dire en quoi la jurisprudence aurait été mal appliquée, respectivement l' art. 317 CPC violé. C'est à juste titre que la cour d'appel a déclaré irrecevable la requête du 2 septembre 2024.</w:t>
      </w:r>
    </w:p>
    <w:p>
      <w:r>
        <w:rPr>
          <w:b/>
        </w:rPr>
        <w:t>E. 4</w:t>
      </w:r>
    </w:p>
    <w:p>
      <w:r>
        <w:t>Invoquant une violation des art. 150, 152 et 186 CPC , le recourant se plaint de ce que la cour cantonale a confirmé la décision du tribunal de première instance rejetant la requête de l'experte sollicitant la production par l'administration fiscale de décisions de taxation de la société C.________ SA pour 2006/2007 et la déclaration d'impôts pour 2007/2008.</w:t>
      </w:r>
    </w:p>
    <w:p>
      <w:r>
        <w:rPr>
          <w:b/>
        </w:rPr>
        <w:t>E. 4.1</w:t>
      </w:r>
    </w:p>
    <w:p>
      <w:r>
        <w:t>La cour cantonale a rappelé que la procédure était gouvernée par la maxime des débats. En conséquence, le tribunal de première instance était lié par les offres de preuves des parties. Les déclarations fiscales 2005 à 2010 ont été versées en cause. L'experte disposait de ces documents puisque le dossier judiciaire lui a été intégralement transmis. Quant aux décisions de taxation 2006 et 2007, la cour cantonale s'est ralliée à l'approche du tribunal de première instance, qui a refusé la production de ces pièces pour le motif qu'elles n'avaient pas été proposées lors du double échange d'écritures. A partir du moment où le recourant prétendait que le gain immobilier résultant de la vente de l'immeuble "zzz" avait été taxé à deux reprises, en 2006 et en 2007, il était élémentaire de déposer ou, à tout le moins de demander l'édition, des décisions de taxation y relatives. Au contraire, il s'était limité à produire les déclarations fiscales et à solliciter une expertise. Il ne pouvait ainsi pas rattraper sa négligence par l'intermédiaire de l'expertise. Il n'y avait pas non plus de violation du droit à la preuve.</w:t>
      </w:r>
    </w:p>
    <w:p>
      <w:r>
        <w:rPr>
          <w:b/>
        </w:rPr>
        <w:t>E. 4.2</w:t>
      </w:r>
    </w:p>
    <w:p>
      <w:r>
        <w:t>Les critiques du recourant sont vaines. La cause était régie par la maxime des débats de sorte qu'il incombait au recourant d'alléguer les faits pertinents et de produire les preuves s'y rapportant ( art. 55 al. 1 CPC ). L' art. 186 al. 1 CPC prévoit que l'expert peut, avec l'autorisation du tribunal, procéder personnellement à des investigations. Il en expose les résultats dans son rapport. La cour cantonale s'est référée à différents avis doctrinaux. Il en ressort que lorsque la maxime des débats s'applique, les investigations de l'expert doivent s'inscrire dans le cadre des allégués et des preuves offertes par les parties. L'expertise ne saurait corriger les défaillances des parties (BOHNET/FITZI, Le cadre procédural de l'expertise judiciaire en matière civile, in L'expertise en procédure, Bâle, 2022, n. 83 et réf. cit.; THOMAS WEIBEL, in Sutter-Somm/Hasenböhler/Leuenberger [éd.], Kommentar zur Schweizerischen Zivilprozessordnung [ZPO], 3e éd. 2016, n. 6 ad art. 186 CPC ; FRANCESCO TREZZINI in Commentario pratico al Codice di diritto processuale civile svizzero, vol. II, 3e éd., 2025, n. 19 ad art. 186 CPC ). L'approche doctrinale doit être suivie. En particulier, l'expertise ne saurait transformer la maxime des débats en maxime inquisitoire. Il incombe donc à la partie d'alléguer et d'offrir les preuves utiles, l'expertise ne pouvant corriger une déficience à cet égard. Le recourant se limite à quelques affirmation mais n'établit nullement que ses allégués et les preuves produites ou requises auraient été suffisantes dans sa demande ou sa réplique. Il n'établit nullement en quoi l' art. 186 CPC aurait été violé, pas plus d'ailleurs que les art. 150 et 152, 316 et 317 CPC, que le recourant invoque également dans ce cadre. On ne perçoit aucune violation du droit fédéral dans le refus de production de pièces qui n'avaient pas été proposées lors du double échange d'écritures.</w:t>
      </w:r>
    </w:p>
    <w:p>
      <w:r>
        <w:rPr>
          <w:b/>
        </w:rPr>
        <w:t>E. 5</w:t>
      </w:r>
    </w:p>
    <w:p>
      <w:r>
        <w:t>Le recourant se plaint d'une violation des art. 53, 97 et 398 al. 2 CO . Il considère que l'intimée est responsable du dommage qu'il invoque, en particulier 57'566 fr. correspondant aux amendes fiscales infligées à C.________ SA pour tentative de soustraction d'impôts, 300'655 fr. correspondant à des intérêts qui auraient dû être comptabilisés dans les comptes de C.________ SA en lien avec les prêts sans intérêts à D.________ Sàrl, 15'489 fr. 80 correspondant aux impôts qui auraient dû être économisés avec le gain immobilier pour l'immeuble "zzz" prétendument taxé à double, 16'000 fr. correspondant aux honoraires de E.________ AG mandatée par le recourant pour une expertise privée.</w:t>
      </w:r>
    </w:p>
    <w:p>
      <w:r>
        <w:rPr>
          <w:b/>
        </w:rPr>
        <w:t>E. 5.1.1</w:t>
      </w:r>
    </w:p>
    <w:p>
      <w:r>
        <w:t>Les amendes fiscales étant de véritables peines, l'exigence d'une faute personnelle prévaut ( ATF 134 III 59 consid. 2.3). La règle prévue à l' art. 53 CO , selon laquelle le juge civil, pour se prononcer sur l'appréciation de la faute et la fixation du dommage, n'est pas lié par un jugement pénal intervenu auparavant, se réfère aux conditions de la responsabilité (cf. art. 97 CO ), mais elle n'englobe pas les sanctions (pénales) de nature strictement personnelle déjà prononcées par le juge pénal (cf. ATF 134 III 59 consid. 2.4). Autrement dit, il n'incombe pas au droit privé d'examiner à nouveau l'existence d'une faute personnelle du contribuable et, le cas échéant, de "corriger" le résultat auquel est parvenue l'autorité fiscale au terme de la procédure pénale pour soustraction d'impôt (arrêt 4A_491/2013 du 6 février 2014 consid. 2.4.2).</w:t>
      </w:r>
    </w:p>
    <w:p>
      <w:r>
        <w:rPr>
          <w:b/>
        </w:rPr>
        <w:t>E. 5.1.2</w:t>
      </w:r>
    </w:p>
    <w:p>
      <w:r>
        <w:t>Le passage jurisprudentiel invoqué par le recourant à propos de l'éventuelle responsabilité du conseiller (ATF 134 III consid. 2.3.3) ne constitue qu'une hypothèse évoquée par la doctrine, le Tribunal fédéral ayant laissé cette question ouverte. Quoi qu'il en soit en l'occurrence, sur la base des faits retenus qui lient le Tribunal fédéral ( art. 105 al. 1 LTF ), aucune imputation fautive ne pourrait être opposée à l'intimée. Cela sans compter qu'il n'y a pas de compensation des fautes au pénal ( ATF 122 IV 17 consid. 2c/bb) de sorte que la faute de la personne condamnée ne saurait être imputée à un tiers.</w:t>
      </w:r>
    </w:p>
    <w:p>
      <w:r>
        <w:rPr>
          <w:b/>
        </w:rPr>
        <w:t>E. 5.1.3</w:t>
      </w:r>
    </w:p>
    <w:p>
      <w:r>
        <w:t>Il résulte de la jurisprudence précitée (supra consid. 5.1.1) qu'il n'est pas question de revenir sur la responsabilité pénale de C.________ SA, ni d'imputer cette responsabilité à l'intimée et de faire supporter à celle-ci le montant de l'amende infligée à celle-là. C'est vainement que le recourant invoque ce poste du dommage.</w:t>
      </w:r>
    </w:p>
    <w:p>
      <w:r>
        <w:rPr>
          <w:b/>
        </w:rPr>
        <w:t>E. 5.2.1</w:t>
      </w:r>
    </w:p>
    <w:p>
      <w:r>
        <w:t>Le recourant reproche ensuite à l'intimée d'avoir violé son obligation d'information puisqu'elle n'a jamais rendu attentive C.________ SA au risque fiscal lié à l'octroi de prêts sans intérêts. Selon lui, si la société avait eu cette information, elle aurait comptabilisé des créances d'intérêts et augmenté ainsi son actif d'un montant de 300'655 francs. La cour cantonale a exclu l'existence d'un dommage car même si C.________ SA avait comptabilisé des intérêts sur les prêts accordés, elle n'aurait pas pu récupérer un quelconque montant à ce titre dans la faillite de D.________ Sàrl. Elle a ainsi exclu tout dommage.</w:t>
      </w:r>
    </w:p>
    <w:p>
      <w:r>
        <w:rPr>
          <w:b/>
        </w:rPr>
        <w:t>E. 5.2.2</w:t>
      </w:r>
    </w:p>
    <w:p>
      <w:r>
        <w:t>Dire s'il y a eu dommage et quelle en est la quotité est une question de fait qui lie en principe le Tribunal fédéral ( art. 105 al. 1 et 2 LTF ). C'est en revanche une question de droit de dire si la notion juridique de dommage a été méconnue ( ATF 132 III 564 consid. 6.2; 130 III 145 consid. 6.2; arrêts 4A_107/2023 du 3 novembre 2023 consid. 4.1). En l'occurrence, le recourant se contente d'affirmations appellatoires, par conséquent irrecevables, sans établir en quoi la cour cantonale aurait versé dans l'arbitraire en niant tout dommage. Le recourant se prévaut des nova (supra consid. 3) et de ce qu'aurait pu apporter l'expertise si les taxations de 2006/2007 avaient été produites (supra consid. 4). De la sorte, il ne formule aucun grief recevable. En indiquant que de l'argent reçu par la société Grangier en 2013 aurait pu être investi dans D.________ Sàrl ou que cette société aurait été en mesure de verser des intérêts, il émet de pures conjectures, inaptes à établir une appréciation arbitraire des preuves quant à l'absence de dommage retenue. Il n'articule en définitive aucun grief recevable.</w:t>
      </w:r>
    </w:p>
    <w:p>
      <w:r>
        <w:rPr>
          <w:b/>
        </w:rPr>
        <w:t>E. 5.3</w:t>
      </w:r>
    </w:p>
    <w:p>
      <w:r>
        <w:t>Le recourant considère que c'est à tort que la cour cantonale a rejeté sa prétention de 15'489 fr. 80 correspondant au montant payé en trop en lien avec la prétendue double imposition du gain immobilier pour l'immeuble "zzz". A l'appui de son argumentation, le recourant fait valoir que l'expertise serait lacunaire car établie sans la production de documents essentiels (supra, consid. 4). De la sorte, il ne soulève aucun grief recevable par rapport à ce poste du dommage invoqué.</w:t>
      </w:r>
    </w:p>
    <w:p>
      <w:r>
        <w:rPr>
          <w:b/>
        </w:rPr>
        <w:t>E. 5.4</w:t>
      </w:r>
    </w:p>
    <w:p>
      <w:r>
        <w:t>Par rapport aux frais d'expertise privée par 16'000 fr., le recourant se limite à indiquer que ce poste du dommage est dû dès lors que ses griefs par rapport aux autres postes doivent être admis. Ce faisant, il ne formule aucun grief recevable.</w:t>
      </w:r>
    </w:p>
    <w:p>
      <w:r>
        <w:rPr>
          <w:b/>
        </w:rPr>
        <w:t>E. 6</w:t>
      </w:r>
    </w:p>
    <w:p>
      <w:r>
        <w:t>Le recours doit être rejeté dans la mesure de sa recevabilité. Le recourant supporte les frais de procédure ( art. 66 al. 1 LTF ) et doit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