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661/2016 vom 31. August 2017</w:t>
      </w:r>
    </w:p>
    <w:p>
      <w:r>
        <w:t>Bundesgericht, 2017-08-31, FR</w:t>
      </w:r>
    </w:p>
    <w:p>
      <w:r>
        <w:rPr>
          <w:b/>
        </w:rPr>
        <w:t xml:space="preserve">Quelle: </w:t>
      </w:r>
      <w:r>
        <w:t>https://mcp.opencaselaw.ch/entscheid/bger_4A_661_2016</w:t>
      </w:r>
    </w:p>
    <w:p>
      <w:r>
        <w:t>FR: TF 4A 661/2016 du 31 août 2017</w:t>
      </w:r>
    </w:p>
    <w:p>
      <w:r>
        <w:t>IT: TF 4A 661/2016 del 31 agosto 2017</w:t>
      </w:r>
    </w:p>
    <w:p>
      <w:pPr>
        <w:pStyle w:val="Heading2"/>
      </w:pPr>
      <w:r>
        <w:t>Regeste</w:t>
      </w:r>
    </w:p>
    <w:p>
      <w:r>
        <w:t>traitement par l'employeur de données personnelles (art. 328b CO) | Droit des contrats</w:t>
      </w:r>
    </w:p>
    <w:p>
      <w:pPr>
        <w:pStyle w:val="Heading2"/>
      </w:pPr>
      <w:r>
        <w:t>Erwägungen</w:t>
      </w:r>
    </w:p>
    <w:p>
      <w:r>
        <w:rPr>
          <w:b/>
        </w:rPr>
        <w:t>E. 1.1</w:t>
      </w:r>
    </w:p>
    <w:p>
      <w:r>
        <w:t>Interjeté en temps utile (art. 48 al. 1 et 100 al. 1 LTF) par l'employée qui a succombé dans ses conclusions en paiement ( art. 76 al. 1 LTF ), dirigé contre un arrêt final ( art. 90 LTF ) rendu en matière civile ( art. 72 al. 1 LTF ) par un tribunal supérieur statuant sur recours ( art. 75 LTF ) dans une affaire relative au droit du travail dont la valeur litigieuse excède 15'000 fr. ( art. 74 al. 1 let. a LTF ), le recours en matière civile est en principe recevable.</w:t>
      </w:r>
    </w:p>
    <w:p>
      <w:r>
        <w:rPr>
          <w:b/>
        </w:rPr>
        <w:t>E. 1.2</w:t>
      </w:r>
    </w:p>
    <w:p>
      <w:r>
        <w:t>Le recours en matière civile est recevable notamment pour violation du droit fédéral ( art. 95 let. a LTF ). Saisi d'un tel recours, le Tribunal fédéral applique d'office le droit ( art. 106 al. 1 LTF ), sous réserve de la violation des droits constitutionnels ( art. 106 al. 2 LTF ).</w:t>
      </w:r>
    </w:p>
    <w:p>
      <w:r>
        <w:rPr>
          <w:b/>
        </w:rPr>
        <w:t>E. 1.3</w:t>
      </w:r>
    </w:p>
    <w:p>
      <w:r>
        <w:t>Le Tribunal fédéral statue sur la base des faits établis par l'autorité précédente ( art. 105 al. 1 LTF ). Relèvent de ces faits tant les constatations relatives aux circonstances touchant l'objet du litige que celles ayant trait aux faits procéduraux ( ATF 140 III 16 consid. 1.3.1 et les références). Le Tribunal fédéral ne peut s'écarter des faits ainsi retenus par l'autorité cantonale que s'ils ont été établis de façon manifestement inexactes, ce qui correspond à la notion d'arbitraire au sens de l' art. 9 Cst. ( ATF 140 III 115 consid. 2 p. 117; 135 III 397 consid. 1.5). Encore faut-il que la correction du vice soit susceptible d'influer sur le sort de la cause ( art. 97 al. 1 LTF ). En matière de constatation des faits et d'appréciation des preuves,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140 III 264 consid. 2.3 p. 265; 137 III 226 consid. 4.2 p. 234). La critique de l'état de fait retenu est soumise au principe strict de l'allégation énoncé par l' art. 106 al. 2 LTF . La partie qui entend attaquer les faits constatés par l'autorité précédente doit expliquer clairement et de manière circonstanciée, en partant de la décision attaquée, en quoi ces conditions seraient réalisées. Si la critique ne satisfait pas à ces exigences, les allégations relatives à un état de fait qui s'écarterait de celui de la décision attaquée ne pourront pas être prises en considération ( ATF 140 III 16 consid. 1.3.1 p. 18 et les références).</w:t>
      </w:r>
    </w:p>
    <w:p>
      <w:r>
        <w:rPr>
          <w:b/>
        </w:rPr>
        <w:t>E. 2</w:t>
      </w:r>
    </w:p>
    <w:p>
      <w:r>
        <w:t>La recourante reproche à la cour cantonale d'avoir commis un déni de justice ( art. 29 al. 1 Cst. ) en ne prenant pas position sur la question de la compatibilité avec les art. 328 s. CO de l'obligation de l'employeuse - prévue dans le contrat d'assurance collective - de s'occuper des formalités d'admission (acte de recours ch. 10 s. p. 9). A la lecture de l'arrêt attaqué, on comprend qu'en réalité les juges cantonaux ont simplement signalé que le Tribunal fédéral avait laissé ouverte la question de la compatibilité de la clause contractuelle précitée avec le droit fédéral (arrêt entrepris consid. 6.4 p. 15). Ils n'ont par contre pas tranché la question qui leur était soumise en fonction de ce constat, mais ont expliqué, en se référant aux circonstances de l'espèce, que l'employeuse n'avait pas adopté, au moment où l'employée avait rempli le questionnaire de santé, un comportement susceptible de porter atteinte à la personnalité de celle-ci et, partant, qu'aucune violation ne pouvait lui être reprochée (arrêt entrepris consid. 6.2.1 p. 13). Le moyen est dès lors infondé.</w:t>
      </w:r>
    </w:p>
    <w:p>
      <w:r>
        <w:rPr>
          <w:b/>
        </w:rPr>
        <w:t>E. 3</w:t>
      </w:r>
    </w:p>
    <w:p>
      <w:r>
        <w:t>La recourante invoque la violation de plusieurs dispositions de droit fédéral (notamment l' art. 328b CO et l' art. 3 LPD ) et elle reproche à la cour cantonale d'avoir établi les faits de manière arbitraire ( art. 9 Cst. ).</w:t>
      </w:r>
    </w:p>
    <w:p>
      <w:r>
        <w:rPr>
          <w:b/>
        </w:rPr>
        <w:t>E. 3.1</w:t>
      </w:r>
    </w:p>
    <w:p>
      <w:r>
        <w:t>En vertu de l' art. 328 al. 1 CO , l'employeur protège et respecte, dans les rapports de travail, la personnalité du travailleur. Selon l' art. 328b CO , l'employeur ne peut traiter des données concernant le travailleur que dans la mesure où ces données portent sur les aptitudes du travailleur à remplir son emploi ou sont nécessaires à l'exécution du contrat de travail. En l'occurrence, il n'est pas contesté que les informations relatives à l'état de santé de l'employée ne sont pas couvertes par les deux catégories de motifs justificatifs prévus dans cette disposition. Les règles de la loi fédérale du 19 juin 1992 sur la protection des données (LPD; RS 235.1) sont également applicables (art. 328b in fine CO). Il résulte de l' art. 3 let . e LPD que, par traitement (de données), on entend toute opération relative à des données personnelles - quels que soient les moyens et procédés utilisés - notamment la collecte, la conservation, l'exploitation, la modification, la communication, l'archivage ou la destruction de données. L'employeur qui prend intentionnellement connaissance (ou collecte) des données personnelles d'un de ses employés entreprend une démarche entrant dans cette définition (cf. BEAT RUDIN, in Datenschutzgesetz, Kommentar, no 34 ad art. 3 LPD ). La simple transmission de données personnelles est un acte de communication au sens de l' art. 3 let . e LPD (cf. art. 3 let . f LPD), et donc un traitement de données.</w:t>
      </w:r>
    </w:p>
    <w:p>
      <w:r>
        <w:rPr>
          <w:b/>
        </w:rPr>
        <w:t>E. 3.2</w:t>
      </w:r>
    </w:p>
    <w:p>
      <w:r>
        <w:t>Sur le plan factuel, en vue d'établir l'existence d'un traitement illicite, l'employée se plaint de ce que son employeuse a complété préalablement les documents litigieux, que son supérieur hiérarchique serait resté physiquement à ses côtés lorsqu'elle a rempli le questionnaire de santé, qu'il aurait conservé une copie des documents et qu'il s'est lui-même chargé de les remettre à l'assureur.</w:t>
      </w:r>
    </w:p>
    <w:p>
      <w:r>
        <w:rPr>
          <w:b/>
        </w:rPr>
        <w:t>E. 3.2.1</w:t>
      </w:r>
    </w:p>
    <w:p>
      <w:r>
        <w:t>La recourante ne prétend toutefois pas que chacun de ces agissements, pris isolément ou combinés entre eux, seraient à l'origine de ses fausses déclarations et qu'ils permettraient d'établir la responsabilité de son employeuse. Lorsqu'elle examine les conditions posées à l' art. 97 al. 1 CO , la recourante s'appuie en effet sur un seul élément central (la présence de son supérieur hiérarchique dans son bureau) - qui sera examiné ci-dessous - et elle ne fait qu'évoquer (sauf pour la copie des documents, cf. infra) les autres agissements, sans leur accorder un rôle décisif (cf. arrêt entrepris p. 11 à 14). La recourante consacre néanmoins différents passages de son recours au fait que son employeuse conserverait une copie de ces documents (acte de recours p. 4 et 14) et, même si elle ne paraît pas vouloir démontrer que la responsabilité de son employeuse serait engagée sur la base de ce seul élément, il sera également examiné ci-dessous.</w:t>
      </w:r>
    </w:p>
    <w:p>
      <w:r>
        <w:rPr>
          <w:b/>
        </w:rPr>
        <w:t>E. 3.2.2</w:t>
      </w:r>
    </w:p>
    <w:p>
      <w:r>
        <w:t>Force est d'observer que l'argument central proposé par la recourante s'appuie sur un état de fait (la présence de son supérieur hiérarchique dans son bureau) étranger à celui dressé par la cour cantonale. Elle ne présente toutefois pas une motivation, conforme aux exigences strictes découlant des art. 97 al. 1 et 106 al. 2 LTF, qui permettrait de comprendre en quoi les constatations cantonales auraient été établies de manière arbitraire; elle se borne à affirmer une nouvelle fois de manière appellatoire devant la Cour de céans que A.________ était présent dans son bureau au moment déterminant (acte de recours ch. 3 p. 4). C'est également sans donner la moindre explication que la recourante soutient, dans sa critique de l'état de fait (acte de recours p. 3 à 5), " qu'il ne peut pas être considéré comme établi " que le supérieur hiérarchique n'a pas conservé une copie des documents complétés par l'employée (acte de recours ch. 4 p. 4). Dans la partie de son mémoire traitant de la violation du droit fédéral (p. 7 ss), elle soutient que l' "aveu " du supérieur hiérarchique - selon lequel il " gère les données du personnel " (arrêt entrepris ch. 6.2.2 p. 14) - " pourrait " constituer la preuve de l'existence de copies (acte de recours ch. 21 p. 14). La recourante méconnaît toutefois qu'il ne s'agit pas d'émettre une simple hypothèse pour démontrer l'arbitraire; elle n'explique d'ailleurs pas pourquoi la déclaration formulée de manière générale par A.________ viserait d'emblée et de manière spécifique le traitement et la gestion des données litigieuses. C'est en vain que l'employée donne des explications un peu plus détaillées au stade de la réplique, puisqu'elle aurait dû respecter l'exigence de motivation des art. 97 al. 1 et 106 al. 2 LTF dans sa première écriture (soit dans le délai de l' art. 100 al. 1 LTF ). Il n'y a donc pas lieu d'entrer en matière à ce sujet.</w:t>
      </w:r>
    </w:p>
    <w:p>
      <w:r>
        <w:rPr>
          <w:b/>
        </w:rPr>
        <w:t>E. 3.2.3</w:t>
      </w:r>
    </w:p>
    <w:p>
      <w:r>
        <w:t>Les moyens tirés de la violation des normes de droit fédéral évoquées par la recourante tombent dès lors à faux puisque, pour les motiver, elle a substitué sa propre version des faits à celle retenue par les magistrats vaudois.</w:t>
      </w:r>
    </w:p>
    <w:p>
      <w:r>
        <w:rPr>
          <w:b/>
        </w:rPr>
        <w:t>E. 3.3</w:t>
      </w:r>
    </w:p>
    <w:p>
      <w:r>
        <w:t>S'agissant plus spécifiquement de l'activité de l'employeuse consistant à transmettre les documents litigieux à l'assureur (point de fait qui n'est pas contesté), on peut observer que, dans la mesure où ce procédé donne la possibilité à un employeur indiscret de prendre connaissance des réponses inscrites dans le questionnaire, il est susceptible d'influencer l'employé - qui peut craindre, peu après son engagement, de dévoiler certaines de ses données personnelles - au moment où il doit apporter des réponses au questionnaire de santé. Il n'y a toutefois pas lieu de s'arrêter sur ce point puisque l'employée n'allègue pas, comme on l'a vu, que cette activité entraînerait, en soi (c'est-à-dire indépendamment de l'éventuelle présence du représentant de l'employeuse dans le bureau de l'employée), la responsabilité de son employeuse. En l'occurrence, l'employée n'allègue d'ailleurs même pas que le contenu de ses réponses aurait été accessible à son employeuse, la cour cantonale ayant d'ailleurs envisagé que l'employée ait pu mettre le questionnaire rempli dans une enveloppe fermée (arrêt entrepris consid. 6.2.2 p. 13).</w:t>
      </w:r>
    </w:p>
    <w:p>
      <w:r>
        <w:rPr>
          <w:b/>
        </w:rPr>
        <w:t>E. 3.4</w:t>
      </w:r>
    </w:p>
    <w:p>
      <w:r>
        <w:t>Enfin, la recourante mentionne la " pratique actuelle de communication des réserves de la plupart des assurances " selon laquelle les employeurs recevraient la décision des assureurs en deux exemplaires (l'un étant destiné à l'employeur et l'autre devant être transmis à l'employé assuré). Il n'est toutefois ici pas établi que la société employeuse se conformerait à une telle pratique (dont l'influence sur l'employé serait similaire à celle qui résulte de l'activité de transmission de l'employeur évoquée au consid. 3.3) et il n'y a donc pas lieu d'approfondir ce point. Les critiques soulevées à cet égard sont sans consistance.</w:t>
      </w:r>
    </w:p>
    <w:p>
      <w:r>
        <w:rPr>
          <w:b/>
        </w:rPr>
        <w:t>E. 4</w:t>
      </w:r>
    </w:p>
    <w:p>
      <w:r>
        <w:t>Il résulte des considérations qui précèdent que le recours en matière civile doit être rejeté dans la mesure où il est recevable. Les frais et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