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4A_660/2020 vom 15. Februar 2021</w:t>
      </w:r>
    </w:p>
    <w:p>
      <w:r>
        <w:t>Bundesgericht, 2021-02-15, DE</w:t>
      </w:r>
    </w:p>
    <w:p>
      <w:r>
        <w:rPr>
          <w:b/>
        </w:rPr>
        <w:t xml:space="preserve">Quelle: </w:t>
      </w:r>
      <w:r>
        <w:t>https://mcp.opencaselaw.ch/entscheid/bger_4A_660_2020</w:t>
      </w:r>
    </w:p>
    <w:p>
      <w:r>
        <w:t>FR: TF 4A_660/2020 du 15 février 2021</w:t>
      </w:r>
    </w:p>
    <w:p>
      <w:r>
        <w:t>IT: TF 4A_660/2020 del 15 febbraio 2021</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ihren gewöhnlichen Aufenthalt bzw.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4A_124/2020 vom 13. November 2020 E. 2.1; 4A_418/2019 vom 18. Mai 2020 E. 2.3; 4A_294/2019 vom 13. November 2019 E. 2.2).</w:t>
      </w:r>
    </w:p>
    <w:p>
      <w:r>
        <w:t>Der Antrag der Beschwerdeführerin ist demnach zulässig. Auf die Beschwerde ist - vorbehältlich einer hinreichenden Begründung ( Art. 77 Abs. 3 BGG ) - einzutreten.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wirft dem Einzelschiedsrichter eine Verletzung des materiellen Ordre public ( Art. 190 Abs. 2 lit. e IPRG ) vor.</w:t>
      </w:r>
    </w:p>
    <w:p>
      <w:r>
        <w:rPr>
          <w:b/>
        </w:rPr>
        <w:t>E. 3.1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S. 130).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auch die Versprechen von Schmiergeldzahlungen verstossen gegen den Ordre public, sofern sie nachgewiesen sind, oder etwa ein Entscheid, der das Verbot der Zwangsarbeit missachtet ( BGE 144 III 120 E. 5.1 S. 130; 138 III 322 E. 4.1 S. 327; je mit Hinweisen).</w:t>
      </w:r>
    </w:p>
    <w:p>
      <w:r>
        <w:t>Zur Aufhebung des angefochtenen Schiedsentscheids kommt es nur, wenn dieser nicht nur in der Begründung, sondern auch im Ergebnis dem Ordre public widerspricht ( BGE 144 III 120 E. 5.1 S. 130; 138 III 322 E. 4.1 sowie E. 4.3.1/4.3.2; 132 III 389 E. 2.2 S. 392 ff.; je mit Hinweisen).</w:t>
      </w:r>
    </w:p>
    <w:p>
      <w:r>
        <w:rPr>
          <w:b/>
        </w:rPr>
        <w:t>E. 3.2.1</w:t>
      </w:r>
    </w:p>
    <w:p>
      <w:r>
        <w:t>Die Beschwerdeführerin bringt vor, Artikel 16 des Arbeitsvertrags vom 19. November 2015 gelange nur zur Anwendung, wenn sie den Vertrag ohne triftigen Grund kündige. Die 45-tägige Frist könne somit erst zu laufen beginnen, wenn eine ungerechtfertigte Kündigung entweder durch die Beschwerdeführerin anerkannt oder durch ein Gericht festgestellt worden sei. Zum ersten Teilsatz von Artikel 16 habe der Einzelschiedsrichter keinerlei Ausführungen gemacht und diesen somit nicht ausgelegt. Er habe den ersten Teilsatz vielmehr komplett ignoriert; mit anderen Worten habe er diesen Teil der Vertragsklausel nicht angewendet. Die Nichtanwendung des ersten Teilsatzes habe zur Folge gehabt, dass die 45-tägige Frist zu einem Zeitpunkt zu laufen begonnen habe, als eine ungerechtfertigte Kündigung weder eingestanden noch gerichtlich festgestellt worden sei. Die Auslegung des Einzelschiedsrichters von Artikel 16 des Arbeitsvertrags stelle eine Missachtung des Prinzips</w:t>
      </w:r>
    </w:p>
    <w:p>
      <w:r>
        <w:t>pacta sunt servanda dar, die den materiellen Ordre public im Sinne von Art. 190 Abs. 2 lit. e IPRG verletze.</w:t>
      </w:r>
    </w:p>
    <w:p>
      <w:r>
        <w:rPr>
          <w:b/>
        </w:rPr>
        <w:t>E. 3.2.2</w:t>
      </w:r>
    </w:p>
    <w:p>
      <w:r>
        <w:t>Der Grundsatz der Vertragstreue (</w:t>
      </w:r>
    </w:p>
    <w:p>
      <w:r>
        <w:t>pacta sunt servanda ), dem von der Rechtsprechung zu Art. 190 Abs. 2 lit. e IPRG eine eingeschränkte Bedeutung beigemessen wird, ist nur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bzw. deren Anwendung verweigert und sich damit in Widerspruch zum Ergebnis der eigenen Auslegung hinsichtlich der Existenz oder des Inhalts des strittigen Vertrags gesetzt haben. Demgegenüber werden der Vorgang der Auslegung und die rechtlichen Konsequenzen, die daraus gezogen werden, nicht vom Grundsatz der Vertragstreue erfasst, weshalb sich damit keine Rüge der Ordre public-Widrigkeit begründen lässt. Das Bundesgericht hat verschiedentlich betont, dass praktisch die Gesamtheit der sich aus der Vertragsverletzung ergebenden Rechtsstreitigkeit vom Schutzbereich des Grundsatzes</w:t>
      </w:r>
    </w:p>
    <w:p>
      <w:r>
        <w:t>pacta sunt servanda ausgeschlossen ist (Urteile 4A_346/2020 vom 6. Januar 2021 E. 6.2.1; 4A_70/2020 vom 18. Juni 2020 E. 7.3.1; 4A_532/2016 vom 30. Mai 2017 E. 3.2.2).</w:t>
      </w:r>
    </w:p>
    <w:p>
      <w:r>
        <w:t>Die Beschwerdeführerin verkennt mit ihren Ausführungen den engen Schutzbereich des Grundsatzes der Vertragstreue. Entgegen der in der Beschwerde vertretenen Ansicht hat der Einzelschiedsrichter Artikel 16 des Arbeitsvertrags vom 19. November 2015 als Ganzes angewendet, er hat dem ersten Teilsatz der Vertragsklausel jedoch eine andere Bedeutung beigemessen, als dies von der Beschwerdeführerin vertreten wird. Darin ist keine Verletzung des materiellen Ordre public zu erblicken. Vielmehr kritisiert die Beschwerdeführerin in unzulässiger Weise die schiedsgerichtliche Vertragsauslegung.</w:t>
      </w:r>
    </w:p>
    <w:p>
      <w:r>
        <w:rPr>
          <w:b/>
        </w:rPr>
        <w:t>E. 3.3.1</w:t>
      </w:r>
    </w:p>
    <w:p>
      <w:r>
        <w:t>Die Beschwerdeführerin rügt eventualiter, die Auslegung von Artikel 16 des Arbeitsvertrags vom 19. November 2015 im angefochtenen Entscheid verstosse gegen den materiellen Ordre public, weil eine rückwirkende Anwendung der 45-tägigen Frist eine übermässige Vertragsbindung im Sinne von Art. 27 Abs. 2 ZGB begründe. Der angefochtene Entscheid halte lediglich in einem Absatz fest, dass der Beschwerdegegner am 25. November 2016 die Bezahlung von Schadenersatz in der Höhe eines Jahressalärs innerhalb von 45 Tagen verlangt habe und die Beschwerdeführerin dieser Forderung nicht nachgekommen sei, weshalb sie nach Artikel 16 Schadenersatz für die gesamte Restlaufzeit des Vertrags schulde. Der Schiedsentscheid setze sich jedoch nicht damit auseinander, dass die 45-tägige Frist erst zu laufen anfangen könne, wenn auch eine ungerechtfertigte Kündigung entweder durch die verletzende Partei anerkannt oder durch ein Gericht festgestellt worden sei. Jede andere Auslegung von Artikel 16 des Arbeitsvertrags würde die wirtschaftliche Freiheit der Beschwerdeführerin aufheben. Sie hätte ansonsten keine Möglichkeit gehabt, sich juristisch gegen den Vorwurf der ungerechtfertigten Kündigung zur Wehr zu setzen, wenn die 45-tägige Frist ungeachtet einer Feststellung der ungerechtfertigten Kündigung zu laufen beginnen würde, zumal ein Schiedsverfahren mehr Zeit in Anspruch nehme. Die Auswirkung der schiedsgerichtlichen Auslegung der fraglichen Vertragsklausel sei wirtschaftlich eklatant, da die Bezahlung eines Jahressalärs USD 60'000.-- betrage, die Restlaufzeit des ganzen Vertrags hingegen USD 246'000.-- ausmache.</w:t>
      </w:r>
    </w:p>
    <w:p>
      <w:r>
        <w:rPr>
          <w:b/>
        </w:rPr>
        <w:t>E. 3.3.2</w:t>
      </w:r>
    </w:p>
    <w:p>
      <w:r>
        <w:t>Die Beschwerdeführerin übt mit ihren Vorbringen einmal mehr unzulässige Kritik an der schiedsgerichtlichen Vertragsauslegung. Der Umstand, dass die Auslegung im angefochtenen Entscheid im Vergleich zu derjenigen, die in der Beschwerde vertreten wird, zu einer beträchtlich höheren Schadenersatzforderung führt, bedeutet keine Verletzung des materiellen Ordre public. Die Beschwerdeführerin führt zwar eine übermässige Bindung bzw. eine Beeinträchtigung ihrer wirtschaftlichen Freiheit ins Feld, zeigt jedoch nicht auf, inwiefern die vom Einzelschiedsrichter bejahte vertragliche Verpflichtung eine offensichtliche und schwerwiegende Persönlichkeitsverletzung darstellen soll, die gegebenenfalls gegen den materiellen Ordre public verstossen könnte (vgl. BGE 138 III 322 E. 4.3).</w:t>
      </w:r>
    </w:p>
    <w:p>
      <w:r>
        <w:t>Die Rüge, der vom Einzelschiedsrichter zugesprochene Schadenersatz verstosse in seiner Höhe gegen den materiellen Ordre public ( Art. 190 Abs. 2 lit. e IPRG ), ist unbegründet.</w:t>
      </w:r>
    </w:p>
    <w:p>
      <w:r>
        <w:rPr>
          <w:b/>
        </w:rPr>
        <w:t>E. 4</w:t>
      </w:r>
    </w:p>
    <w:p>
      <w:r>
        <w:t>Die Beschwerde ist abzuweisen, soweit darauf eingetreten werden kann. Mit dem Entscheid in der Sache wird das Gesuch um aufschiebende Wirkung gegenstandslos.</w:t>
      </w:r>
    </w:p>
    <w:p>
      <w:r>
        <w:t>Dem Ausgang des Verfahrens entsprechend wird die Beschwerdeführerin kostenpflichtig ( Art. 66 Abs. 1 BGG ). Dem Beschwerdegegner wird keine Parteientschädigung zugesprochen,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