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4A_660/2010 vom 11. März 2011</w:t>
      </w:r>
    </w:p>
    <w:p>
      <w:r>
        <w:t>Bundesgericht, 2011-03-11, FR</w:t>
      </w:r>
    </w:p>
    <w:p>
      <w:r>
        <w:rPr>
          <w:b/>
        </w:rPr>
        <w:t xml:space="preserve">Quelle: </w:t>
      </w:r>
      <w:r>
        <w:t>https://mcp.opencaselaw.ch/entscheid/bger_4A_660_2010</w:t>
      </w:r>
    </w:p>
    <w:p>
      <w:r>
        <w:t>FR: TF 4A_660/2010 du 11 mars 2011</w:t>
      </w:r>
    </w:p>
    <w:p>
      <w:r>
        <w:t>IT: TF 4A_660/2010 del 11 marzo 2011</w:t>
      </w:r>
    </w:p>
    <w:p>
      <w:pPr>
        <w:pStyle w:val="Heading2"/>
      </w:pPr>
      <w:r>
        <w:t>Erwägungen</w:t>
      </w:r>
    </w:p>
    <w:p>
      <w:r>
        <w:rPr>
          <w:b/>
        </w:rPr>
        <w:t>E. 1</w:t>
      </w:r>
    </w:p>
    <w:p>
      <w:r>
        <w:t>Le jugement attaqué a été rendu en matière civile ( art. 72 al. 1 LTF ) par l'autorité cantonale de dernière instance ( art. 75 al. 1 LTF ) dans une affaire pécuniaire. En matière de droit du travail, la valeur litigieuse, déterminée par les conclusions restées litigieuses devant l'autorité précédente, doit atteindre le seuil de 15'000 fr. (art. 51 al. 1 let. a et 74 al. 1 let. a LTF).</w:t>
      </w:r>
    </w:p>
    <w:p>
      <w:r>
        <w:t>Le jugement de première instance allouait 7'663 fr. 45 au recourant. Devant la Chambre des recours, celui-ci a prétendu non seulement au paiement de ce montant, mais aussi à l'allocation de deux indemnités équivalant chacune à trois mois de salaire au moins; ses conclusions se chiffraient ainsi à 28'063 fr. 45 (7'663 fr. 45 + [3 x 3'400 fr. x 2]). L'intimée a pour sa part admis devoir au recourant 3'648 fr. 55 en tout et pour tout. S'élevant à 24'414 fr. 90, la valeur litigieuse excède le seuil de 15'000 fr., contrairement à ce qu'indique l'autorité précédente dont l'avis ne lie toutefois pas le Tribunal fédéral ( ATF 136 III 60 consid. 1.1.1 p. 62 in fine). Sauf exceptions, il faut se fonder sur le montant réclamé, même s'il apparaît exagéré ( ATF 99 III 27 consid. 1 p. 32) et sans égard à la question du bien-fondé des conclusions.</w:t>
      </w:r>
    </w:p>
    <w:p>
      <w:r>
        <w:t>Interjeté par une partie à la procédure qui a partiellement succombé devant l'autorité précédente ( art. 76 al. 1 LTF dans sa teneur antérieure au 1er janvier 2011), le recours est en principe recevable puisqu'il a été déposé dans le délai ( art. 100 al. 1 LTF en liaison avec l' art. 45 al. 1 LTF ) et la forme ( art. 42 LTF ) prévus par la loi.</w:t>
      </w:r>
    </w:p>
    <w:p>
      <w:r>
        <w:rPr>
          <w:b/>
        </w:rPr>
        <w:t>E. 2</w:t>
      </w:r>
    </w:p>
    <w:p>
      <w:r>
        <w:t>Le recours peut être interjeté pour violation du droit fédéral ( art. 95 let. a LTF ), y compris le droit constitutionnel ( ATF 136 II 304 consid. 2.4 p. 313). Le Tribunal fédéral applique le droit d'office ( art. 106 al. 1 LTF ). Il conduit son raisonnement juridique sur la base des faits établis par l'autorité précédente ( art. 105 al. 1 LTF ), dont il ne peut s'écarter que si les faits ont été établis de façon manifestement inexacte - notion qui correspond à celle d'arbitraire ( ATF 136 II 304 consid. 2.4 p. 314) - ou en violation du droit au sens de l' art. 95 LTF ( art. 105 al. 2 LTF ).</w:t>
      </w:r>
    </w:p>
    <w:p>
      <w:r>
        <w:rPr>
          <w:b/>
        </w:rPr>
        <w:t>E. 3.1</w:t>
      </w:r>
    </w:p>
    <w:p>
      <w:r>
        <w:t>Le recourant se plaint d'une violation de l' art. 337c al. 3 CO . En substance, il reproche à la cour cantonale d'avoir tenu compte du fait qu'il avait retrouvé rapidement du travail, ce qui reviendrait à pénaliser celui qui met tout en oeuvre pour se réinsérer rapidement. La cour aurait en outre méconnu la position qu'il occupait dans le magasin, ses compétences, le comportement totalement inadéquat de l'intimée et la manière dont le licenciement lui a été communiqué. L'indemnité d'un mois serait arbitrairement basse.</w:t>
      </w:r>
    </w:p>
    <w:p>
      <w:r>
        <w:rPr>
          <w:b/>
        </w:rPr>
        <w:t>E. 3.2</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revêt une double finalité, à la fois réparatrice et punitive ( ATF 135 III 405 consid. 3.1 p. 407; 120 II 209 consid. 9b). Elle est en principe due dans tous les cas de licenciement immédiat et injustifié. Une éventuelle exception doit répondre à des circonstances particulières, qui ne dénotent aucune faute de l'employeur et qui ne lui sont pas non plus imputables pour d'autres raisons ( ATF 133 III 657 consid. 3.2 p. 660; 116 II 300 consid. 5a).</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 ATF 123 III 391 consid. 3c; 121 III 64 consid. 3c; STREIFF/VON KAENEL, Arbeitsvertrag, Praxiskommentar, 6e éd. 2006, n° 8 ad art. 337c CO p. 777 s.)</w:t>
      </w:r>
    </w:p>
    <w:p>
      <w:r>
        <w:t>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121 III 64 consid. 3c; cf. aussi ATF 135 III 259 consid. 2.5).</w:t>
      </w:r>
    </w:p>
    <w:p>
      <w:r>
        <w:rPr>
          <w:b/>
        </w:rPr>
        <w:t>E. 3.3</w:t>
      </w:r>
    </w:p>
    <w:p>
      <w:r>
        <w:t>En l'occurrence, le congé immédiat injustifié a été donné en raison d'un soupçon de vol dont le bien-fondé n'est pas établi; il fait suite à un congé ordinaire donné pour le même motif, auquel le recourant s'est opposé. Celui-ci, né en 1978, avait travaillé deux ans pour l'intimée. Il était apprécié sur le plan professionnel et personnel; ses qualités de vendeur étaient reconnues.</w:t>
      </w:r>
    </w:p>
    <w:p>
      <w:r>
        <w:t>Les circonstances de l'espèce ne font pas ressortir une atteinte sérieuse à la personnalité du recourant ni un résultat particulièrement dommageable pour lui. Dans un courrier du 6 juillet 2009 adressé à l'intimée, il écrivait en substance contester non pas tant la résiliation que le refus de payer son salaire d'août 2009. Un certificat médical d'incapacité de travail a certes été délivré le jour même du licenciement, mais le Tribunal des prud'hommes a jugé qu'il s'agissait d'un certificat de complaisance; l'autorité précédente a laissé cette question indécise dans la mesure où la question d'un éventuel report de l'échéance du contrat n'avait pas d'incidence pratique. A tout le moins n'est-il pas établi que l'incapacité serait due à un état psychologique résultant des difficultés professionnelles du recourant, cet élément ressortant des seules déclarations de l'intéressé.</w:t>
      </w:r>
    </w:p>
    <w:p>
      <w:r>
        <w:t>Contrairement à ce que plaide le recourant, la cour cantonale était en droit de tenir compte du fait qu'il avait retrouvé rapidement un emploi mieux rémunéré. En effet, le temps que l'employé met à obtenir un nouveau travail est propre à aggraver l'atteinte causée par le congé injustifié et peut à ce titre être pris en considération (arrêt 4C.159/1995 du 19 mars 1996 consid. 5a). En l'occurrence, le réengagement rapide du recourant démontre aussi que sa bonne réputation sur le marché du travail n'a pas été ternie par l'attitude de l'intimée.</w:t>
      </w:r>
    </w:p>
    <w:p>
      <w:r>
        <w:t>Il n'apparaît pas que l'autorité précédente se soit fondée sur des critères erronés pour fixer l'indemnité de l' art. 337c al. 3 CO . En retenant l'équivalent d'un mois de salaire brut, elle n'a pas abusé de son pouvoir d'appréciation.</w:t>
      </w:r>
    </w:p>
    <w:p>
      <w:r>
        <w:t>Contrairement à ce que plaide le recourant, on ne saurait déduire de la jurisprudence qu'un mois de salaire constitue le minimum accordé dans des cas limites, notamment en présence d'une faute concomitante de l'employé. Le Tribunal fédéral souligne la nécessité de fixer une telle indemnité en équité selon les circonstances d'espèce et rejette expressément la méthode consistant à se fonder sur une peine de base (Einsatzstrafe), applicable au cas hypothétique normal, qui serait ensuite adaptée en fonction des circonstances aggravantes ou atténuantes du cas concret (arrêt 4C.30/1999 du 19 mars 1999 consid. 3, in Plädoyer 1999/3 p. 57; dans ce sens aussi STREIFF/VON KAENEL, op. cit., n° 8 ad art. 337c CO p. 778).</w:t>
      </w:r>
    </w:p>
    <w:p>
      <w:r>
        <w:t>Il est certes question d'élever à douze mois le montant maximal de l'indemnité pour mieux tenir compte des cas graves (cf. rapport explicatif et avant-projet de révision partielle du code des obligations [sanction en cas de congé abusif ou injustifié], septembre 2010, ch. 1.2.3 pp. 16-18). En droit positif, le Tribunal fédéral admet du reste que dans des cas exceptionnels une indemnité supplémentaire fondée sur l' art. 49 CO puisse être allouée en sus de l'indemnité de l' art. 337c al. 3 CO , lorsque le montant maximal légal ne permet pas de tenir suffisamment compte de l'atteinte à la personnalité (arrêt 4C.463/1999 du 4 juillet 2000 consid. 9c non publié à l' ATF 126 III 395 , confirmé notamment à l'arrêt 4A_142/2009 du 25 juin 2009 consid. 5; STREIFF/VON KAENEL, op. cit., n° 8 ad art. 337c CO p. 778 s.). La présente situation ne constitue toutefois clairement pas un cas grave, l'importance de l'atteinte devant être relativisée pour les motifs indiqués ci-dessus. L'indemnité correspondant grosso modo à un mois de salaire brut prononcée par l'autorité précédente tient suffisamment compte du double caractère punitif et réparatoire voulu par le législateur.</w:t>
      </w:r>
    </w:p>
    <w:p>
      <w:r>
        <w:rPr>
          <w:b/>
        </w:rPr>
        <w:t>E. 4</w:t>
      </w:r>
    </w:p>
    <w:p>
      <w:r>
        <w:t>Il s'ensuit que le recours doit être rejeté.</w:t>
      </w:r>
    </w:p>
    <w:p>
      <w:r>
        <w:t>Vu le sort du recours, les frais judiciaires, fixés en application de l' art. 65 al. 4 let . c LTF, sont mis à la charge du recourant ( art. 66 al. 1 LTF ), qui versera par ailleurs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