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4A_65/2021 vom 27. August 2021</w:t>
      </w:r>
    </w:p>
    <w:p>
      <w:r>
        <w:t>Bundesgericht, 2021-08-27, DE</w:t>
      </w:r>
    </w:p>
    <w:p>
      <w:r>
        <w:rPr>
          <w:b/>
        </w:rPr>
        <w:t xml:space="preserve">Quelle: </w:t>
      </w:r>
      <w:r>
        <w:t>https://mcp.opencaselaw.ch/entscheid/bger_4A_65_2021</w:t>
      </w:r>
    </w:p>
    <w:p>
      <w:r>
        <w:t>FR: TF 4A_65/2021 du 27 août 2021</w:t>
      </w:r>
    </w:p>
    <w:p>
      <w:r>
        <w:t>IT: TF 4A_65/2021 del 27 agosto 2021</w:t>
      </w:r>
    </w:p>
    <w:p>
      <w:pPr>
        <w:pStyle w:val="Heading2"/>
      </w:pPr>
      <w:r>
        <w:t>Erwägungen</w:t>
      </w:r>
    </w:p>
    <w:p>
      <w:r>
        <w:rPr>
          <w:b/>
        </w:rPr>
        <w:t>E. 1.1</w:t>
      </w:r>
    </w:p>
    <w:p>
      <w:r>
        <w:t>Das Bundesgericht prüft die Eintretensvoraussetzungen von Amtes wegen und mit freier Kognition ( Art. 29 Abs. 1 BGG ; BGE 142 II 363 E. 1 mit Hinweis).</w:t>
      </w:r>
    </w:p>
    <w:p>
      <w:r>
        <w:rPr>
          <w:b/>
        </w:rPr>
        <w:t>E. 1.2</w:t>
      </w:r>
    </w:p>
    <w:p>
      <w:r>
        <w:t>Die Parteien sind der Ansicht, die Streitwertgrenze sei nicht erreicht, sodass zu beurteilen sei, ob sich eine Rechtsfrage von grundsätzlicher Bedeutung stellt.</w:t>
      </w:r>
    </w:p>
    <w:p>
      <w:r>
        <w:rPr>
          <w:b/>
        </w:rPr>
        <w:t>E. 1.3</w:t>
      </w:r>
    </w:p>
    <w:p>
      <w:r>
        <w:t>Nach Art. 51 Abs. 1 lit. a BGG bestimmt sich der Streitwert bei Beschwerden gegen Endentscheide nach den Begehren, die vor der Vorinstanz streitig geblieben waren. Nach einem Rückweisungsentscheid des Bundesgerichts ist der ursprünglich vor der Vorinstanz streitige Betrag massgebend, nicht der Betrag, über den die Vorinstanz nach dem Rückweisungsentscheid noch zu entscheiden hat (Urteile 4D_11/2021 vom 1. Juni 2021 E. 1; 4A_10/2021 vom 1. März 2021 E. 1; 4A_74/2020 vom 28. Mai 2020 E. 1; 4A_225/2011 vom 15. Juli 2011 E. 1; vgl. schon BGE 57 II 550 ).</w:t>
      </w:r>
    </w:p>
    <w:p>
      <w:r>
        <w:t>Der ursprünglich streitige Betrag war über Fr. 30'000.-- (vgl. zit. Urteil 4A_209/2019 E. 1), womit die erforderliche Streitwertgrenze von Fr. 15'000.-- erreicht war ( Art. 74 Abs. 1 lit. a BGG ). Die übrigen Eintretensvoraussetzungen geben zu keinen Bemerkungen Anlass. Somit ist auf die vorliegende Beschwerde in Zivilsachen - unter Vorbehalt einer hinreichenden Begründung ( Art. 42 Abs. 1 und 2 BGG ) - einzutreten. Die Frage, ob sich eine Rechtsfrage von grundsätzlicher Bedeutung stellt, braucht somit - entgegen den Parteien - nicht geprüft zu werden. Da die erforderliche Streitwertgrenze überschritten wird, ist auf die gleichzeitig erhobene subsidiäre Verfassungsbeschwerde nicht einzutreten ( Art. 113 BGG ).</w:t>
      </w:r>
    </w:p>
    <w:p>
      <w:r>
        <w:rPr>
          <w:b/>
        </w:rPr>
        <w:t>E. 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w:t>
      </w:r>
    </w:p>
    <w:p>
      <w:r>
        <w:rPr>
          <w:b/>
        </w:rPr>
        <w:t>E. 3</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143 II 283 E. 1.2.3; 133 II 396 E. 3.2 mit Hinweisen). Die Verletzung von Grundrechten prüft das Bundesgericht gemäss Art. 106 Abs. 2 BGG nur insofern, als eine solche Rüge in der Beschwerde vorgebracht und begründet worden ist. Dafür ist erforderlich, dass die angeblich verletzten Grundrechte in der Beschwerde genannt sowie klar und detailliert anhand der Erwägungen des angefochtenen Entscheids aufgezeigt wird, inwiefern diese verletzt worden sein sollen ( BGE 143 I 1 E. 1.4 ; 142 I 99 E. 1.7.2 ; 139 I 229 E. 2.2).</w:t>
      </w:r>
    </w:p>
    <w:p>
      <w:r>
        <w:rPr>
          <w:b/>
        </w:rPr>
        <w:t>E. 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Umstritten ist, ob die Vorinstanz die Klage betreffend die noch zu beurteilende Position "Diverse Betriebskosten" zu Recht mangels eines genügend bestimmten Rechtsbegehrens bzw. einer hinreichenden Begründung der Teilforderung abgelehnt hat.</w:t>
      </w:r>
    </w:p>
    <w:p>
      <w:r>
        <w:rPr>
          <w:b/>
        </w:rPr>
        <w:t>E. 5.1</w:t>
      </w:r>
    </w:p>
    <w:p>
      <w:r>
        <w:t>Die Vorinstanz erwog, die Erstinstanz habe die Höhe der zuzusprechenden Beträge feststellen müssen. Dazu sei zunächst zu prüfen gewesen, welche Beträge die Beschwerdeführer unter dem Titel "Diverse Betriebskosten" im Einzelnen konkret zurückverlangt hätten. Dazu habe sich das Bundesgericht nicht geäussert, womit der Rückweisungsentscheid insoweit keine verbindlichen Feststellungen enthalte, die zu beachten gewesen wären.</w:t>
      </w:r>
    </w:p>
    <w:p>
      <w:r>
        <w:t>Die Beschwerdeführer würden zutreffend darauf hinweisen, dass für die noch zu beurteilende Position "Diverse Betriebskosten" die Beschwerdegegnerin behauptungs- und beweispflichtig sei. Es liege damit an ihr, die nötigen Behauptungen aufzustellen und zu beweisen, dass die in Rechnung gestellten Kosten tatsächlich in diesem Umfang angefallen und nebenkostenfähig seien. Die Beschwerdeführer hätten hierzu jedoch ein konkretes, genügend bestimmtes Rechtsbegehren stellen müssen, das bei Gutheissung der Klage zum Urteilsdispositiv erhoben werden könne; werde die Bezahlung eines Geldbetrages verlangt, so sei dieser zu beziffern ( Art. 84 Abs. 2 ZPO ).</w:t>
      </w:r>
    </w:p>
    <w:p>
      <w:r>
        <w:t>Die Beschwerdeführer hätten einen Totalbetrag für diverse Nachzahlungen zurückverlangt. Weder im Rechtsbegehren noch in der Klagebegründung noch in der Replik sei eine nähere Aufschlüsselung bzw. eine konkrete Bezifferung der Position "Diverse Betriebskosten" erfolgt. Setze sich eine geltend gemachte Forderung aus mehreren Positionen zusammen, könne sich eine Partei nicht darauf beschränken, einen Totalbetrag zu nennen. Die anwaltlich vertretenen Beschwerdeführer hätten zumindest aufführen müssen, um welchen Betrag die Position "Diverse Betriebskosten" in welchen Nebenkostenabrechnungen zu reduzieren sei, unter Angabe, wie sie diese Beträge berechnen würden.</w:t>
      </w:r>
    </w:p>
    <w:p>
      <w:r>
        <w:t>Die Beschwerdeführer würden für die Bezifferung auf ihre Eingabe vom 30. November 2017 (Widerruf des gerichtlichen Vergleichs, act. 3/32) und insbesondere die damit eingereichte Beilage (act. 3/33/7) sowie auf ihre Stellungnahme vom 20. April 2020 (act. 9) verweisen. Es sei zunächst zu prüfen, ob diese Eingaben rechtzeitig in den Prozess eingebracht worden seien.</w:t>
      </w:r>
    </w:p>
    <w:p>
      <w:r>
        <w:t>Entscheidend sei, dass die Hauptverhandlung vor der Erstinstanz am 19. Mai 2017 abgeschlossen worden sei. Danach seien nach Art. 229 Abs. 3 ZPO keine Noven mehr zulässig gewesen. Den Parteien sei nur nochmals Gelegenheit geboten worden, Vergleichsgespräche unter gerichtlicher Mitwirkung zu führen. Dies, sowie der Umstand, dass in der getroffenen Vereinbarung eine Widerrufsmöglichkeit eingeräumt worden sei, habe kein weiteres Novenrecht geschaffen. Es sei daher nicht zu beanstanden, wenn die Erstinstanz die Eingabe vom 30. November 2017 einschliesslich Beilagen als verspätet erachtet habe.</w:t>
      </w:r>
    </w:p>
    <w:p>
      <w:r>
        <w:t>Bei der von den Beschwerdeführern angeführten act. 3/33/7 handle es sich überdies nur um eine Beilage. Die Beschwerdeführer würden keinerlei Ausführungen machen, wie die Beilage zu lesen sei. Insbesondere fehle eine Erklärung, gestützt auf welche weiteren Beilagen sie die darin enthaltenen Beträge berechnen würden. Es sei nicht Aufgabe des Gerichts oder der Gegenpartei, diese Angaben aus den Akten zusammen zu suchen, um die Beilage im Sinne der Beschwerdeführer zu interpretieren. Damit seien sie ihrer Begründungspflicht nicht hinreichend nachgekommen. In ihrer Stellungnahme vom 20. April 2020 hätten sie zwar ein beziffertes Begehren für die Position "Diverse Betriebskosten" gestellt und erklärt, wie sich der Betrag zusammensetze. Diese Eingabe sei jedoch erst nach dem Rückweisungsentscheid erfolgt und daher in jedem Fall verspätet.</w:t>
      </w:r>
    </w:p>
    <w:p>
      <w:r>
        <w:rPr>
          <w:b/>
        </w:rPr>
        <w:t>E. 6</w:t>
      </w:r>
    </w:p>
    <w:p>
      <w:r>
        <w:t>Die Beschwerdeführer rügen zusammengefasst, die Vorinstanz habe die Bindungswirkung des bundesgerichtlichen Rückweisungsentscheids missachtet. Sie habe eine formelle Rechtsverweigerung begangen und damit Art. 29 Abs. 1 BV sowie Art. 109 BV verletzt. Weiter habe sie die Beweislast falsch verteilt ( Art. 8 ZGB ) und die Verteilung der Pflichten betreffend die Nebenkostenabrechnungen ohne Saldoanerkennung verkannt ( Art. 400 Abs. 1 OR ; Art. 257a Abs. 2 OR i.V.m Art. 8 VMWG [Verordnung über die Miete und Pacht von Wohn- und Geschäftsräumen vom 9. Mai 1980; SR. 221.213.11]). Weiter rügen sie, die Vorinstanz habe in übertriebener Formstrenge eine Bezifferung verlangt und die Novenschranke ( Art. 229 ZPO ) bundesrechtswidrig angewendet.</w:t>
      </w:r>
    </w:p>
    <w:p>
      <w:r>
        <w:rPr>
          <w:b/>
        </w:rPr>
        <w:t>E. 6.1</w:t>
      </w:r>
    </w:p>
    <w:p>
      <w:r>
        <w:t>Das Bundesgericht hat den Rückerstattungsanspruch der Beschwerdeführer betreffend die unter "Diverse Betriebskosten" in Rechnung gestellten Beträge, für die keine Saldoanerkennung vorliegt,</w:t>
      </w:r>
    </w:p>
    <w:p>
      <w:r>
        <w:t>grundsätzlich gutgeheissen. Die Sache aber zur Prüfung und Beurteilung des Quantitativen an die Vorinstanz zurückgewiesen (vgl. hiervor Sachverhalt lit. B.c.).</w:t>
      </w:r>
    </w:p>
    <w:p>
      <w:r>
        <w:t>Die Beschwerdeführer weisen zu Recht darauf hin, dass sie ihr Rechtsbegehren betreffend die ungerechtfertigten Nachzahlungen aus Nebenkosten (Rechtsbegehren Nr. 1) beziffert haben. Sie forderten betreffend den Kläger 1 (recte: Kläger 1 und Klägerin 2) Fr. 9'723.30; betreffend den Kläger 2 (recte: Kläger 3 und Klägerin 4) Fr. 9'434.55 und betreffend den Kläger 3 (recte: Kläger 5 und Klägerin 6) Fr. 13'286.25, insgesamt folglich Fr. 32'444.10. Damit ist das Rechtsbegehren der Beschwerdeführer gemäss Art. 84 Abs. 2 ZPO ausreichend beziffert, sodass auf die Klage eingetreten werden kann. Entsprechend hat denn auch das Bundesgericht im Rückweisungsentscheid den Rückerstattungsanspruch der Beschwerdeführer betreffend die Position "Diverse Betriebskosten" im Rückweisungsentscheid im Grundsatz gutgeheissen. Daran ist die Vorinstanz gebunden (Bindungswirkung des Rückweisungsentscheids; vgl. hiervor E. 2).</w:t>
      </w:r>
    </w:p>
    <w:p>
      <w:r>
        <w:rPr>
          <w:b/>
        </w:rPr>
        <w:t>E. 6.2</w:t>
      </w:r>
    </w:p>
    <w:p>
      <w:r>
        <w:t>Eine andere Frage ist, ob die Klage hinreichend begründet ist. Die Vorinstanz verlangt von den Beschwerdeführern diesbezüglich, sie hätten in ihrer Klage begründen bzw. beziffern müssen, welchen Betrag sie betreffend die Position "Diverse Betriebskosten" zurückverlangen würden. Sie hält dabei zu Recht fest, das Gebot der Bestimmtheit der Rechtsbegehren beruhe auf der Dispositionsmaxime ( Art. 58 Abs. 1 ZPO ) und auf dem Grundsatz des rechtlichen Gehörs, welcher voraussetze, dass die beklagte Partei genau wisse, was von ihr gefordert werde, um erschöpfend Stellung zu nehmen. Diese Voraussetzungen waren aber - entgegen der Vorinstanz - vorliegend erfüllt. Aus den Ausführungen in der Klage konnte die Beschwerdegegnerin erkennen, was die Beschwerdeführer von ihr verlangen, nämlich die Rückerstattung der getätigten Nachzahlungen. Mit anderen Worten ergab sich aus der Klage, dass die Beschwerdeführer die in Rechnung gestellten Nebenkosten - jedenfalls soweit keine genügende Nebenkostenabrechnung vorliegt - nicht bezahlen wollen. Das Bundesgericht hat diesen Rückerstattungsanspruch betreffend die unter der Position "Diverse Betriebskosten" getätigten Nachzahlungen, soweit in diesen keine Saldoanerkennung zu sehen ist, denn auch im Grundsatz gutgeheissen (vgl. zit. Urteil 4A_209/2019 E. 10).</w:t>
      </w:r>
    </w:p>
    <w:p>
      <w:r>
        <w:t>Der Beschwerdegegnerin, welche die Nebenkostenabrechnungen erstellt hat bzw. erstellen liess, musste ohne Weiteres klar sein, welche Beträge die Beschwerdeführer von ihr zurückverlangen. Es war ihr somit - auch betreffend die Position "Diverse Betriebskosten" - klar, was von ihr gefordert wird und sie hätte diesbezüglich erschöpfend Stellung nehmen können. Es ist daher nicht nachvollziehbar, wenn sie sich in ihrer Beschwerdeantwort auf den Standpunkt stellt, die Beschwerdeführer hätten darlegen müssen, "wie sich dieser Rückforderungsanspruch in Bezug auf die verschiedenen Nebenkostenabrechnungen genau berechnet, d.h. anzugeben, wie hoch der Rückforderungsanspruch der Beschwerdeführer in Bezug auf die Positionen 'diverse Betriebskosten' in den jeweiligen Nebenkostenabrechnungen ist und offenzulegen, wie dieser Rückforderungsanspruch aufgrund des in den jeweiligen Nebenkostenabrechnungen angegebenen Verteilschlüssels berechnet wurde". Auf diese Informationen war die Beschwerdegegnerin nicht angewiesen. Vor diesem Hintergrund ist der vorinstanzlichen Schlussfolgerung, die Klage sei betreffend die Position "Diverse Betriebskosten" nicht hinreichend begründet, nicht zu folgen. Die Vorinstanz überspannt - in Verletzung von Bundesrecht - die Anforderungen an die Begründung der Klage, zumal sie selbst zu Recht festhält, die Beschwerdegegnerin sei für die noch zu beurteilende Position "Diverse Betriebskosten " behauptungs- und beweisbelastet. Die überspannten Anforderungen der Vorinstanz an die Begründung der Klage führen im Ergebnis aber gerade dazu, dass die Beschwerdeführer obwohl nicht behauptungs- und beweisbelastet, letztlich im Ergebnis dennoch die Behauptungslast betreffend die Position "Diverse Betriebskosten" tragen.</w:t>
      </w:r>
    </w:p>
    <w:p>
      <w:r>
        <w:rPr>
          <w:b/>
        </w:rPr>
        <w:t>E. 6.3</w:t>
      </w:r>
    </w:p>
    <w:p>
      <w:r>
        <w:t>Solange die Beschwerdegegnerin sich trotz der ihr obliegenden Substanziierungslast weigert, darzulegen, wie sich die in Rechnung gestellten Beträge (namentlich die Position "Diverse Betriebskosten") zusammensetzten, können die Beschwerdeführer grundsätzlich auch ihrerseits nicht weiter darlegen bzw. aufschlüsseln, welchen Betrag sie im Einzelnen betreffend die verschiedenen Positionen (einschliesslich der Position "Diverse Betriebskosten") zurückverlangen. Entsprechend setzte das Mietgericht der Beschwerdegegnerin mit Beschluss vom 27. Januar 2020 auch (zunächst) Frist an, um die Höhe der Position "Diverse Betriebskosten" zu substanziieren (vgl. hiervor Sachverhalt lit. B.e). Vor diesem Hintergrund geht der Vorwurf der Vorinstanz an die Beschwerdeführer, ihnen hätten sämtliche Berechnungsgrundlagen zur Verfügung gestanden, um ihre Teilforderung betreffend die Position "Diverse Betriebskosten" hinreichend zu begründen, fehl.</w:t>
      </w:r>
    </w:p>
    <w:p>
      <w:r>
        <w:t>Da die Beschwerdegegnerin ihrer Substanziierungspflicht betreffend die Position "Diverse Betriebskosten" nicht nachgekommen ist, ist ihr Anspruch auf die in Rechnung gestellten und von den Beschwerdeführern unter Vorbehalt bezahlten Nebenkosten unter der Position "Diverse Betriebskosten" nicht hinreichend substanziiert und die entsprechenden Beträge sind grundsätzlich zurückzuerstatten. Die Beschwerdegegnerin verhält sich treuwidrig und verdient keinen Rechtsschutz, wenn sie vorliegend die Rückforderung vereitelt, indem sie ihrer Abrechnungspflicht trotz des bundesgerichtlichen Rückweisungsentscheids weiterhin nicht nachkommt. Nichts ändert, dass die Beschwerdeführer aufgrund der Weigerung der Beschwerdegegnerin, die Position "Diverse Betriebskosten" zu substanziieren, ihrerseits versucht haben, die Position "Diverse Betriebskosten " aufzuschlüsseln bzw. zu beziffern. Damit kann auch offenbleiben, ob die entsprechenden Eingaben rechtzeitig ins Verfahren eingebracht worden sind.</w:t>
      </w:r>
    </w:p>
    <w:p>
      <w:r>
        <w:rPr>
          <w:b/>
        </w:rPr>
        <w:t>E. 6.4</w:t>
      </w:r>
    </w:p>
    <w:p>
      <w:r>
        <w:t>Das Bundesgericht hielt im Rückweisungsentscheid fest, die Beschwerdeführer 1 und 2 hätten die Saldi der Nebenkostenabrechnungen 2010/2011 bis 2013/2014 (insgesamt Fr. 7'109.95) erst nach Mahnung und Kündigungsandrohung bezahlt. Das gelte auch für die Beschwerdeführer 3 und 4 betreffend die Nebenkostenabrechnungen 2009/2010 bis 2013/2014 (insgesamt Fr. 5'886.--). Auch für die Beschwerdeführer 5 und 6 könne hinsichtlich des von diesen am 19. Mai 2016 bezahlten Betrages von Fr. 7'140.10 hiervor ausgegangen werden (zit. Urteil 4A_209/2019 E. 8.1). Ein Teil dieser Beträge betrifft die Position "Diverse Betriebskosten". Die Beschwerdegegnerin hat sich aufgrund ihrer Abrechnungspflicht dazu zu äussern und zu substanziieren, wie hoch der auf die Position "Diverse Betriebskosten" fallende Anteil betreffend die jeweiligen Beträge ist. Sollte die behauptungs- und beweispflichtige Beschwerdegegnerin dem weiter nicht nachkommen, ist auf die Beträge abzustellen, wie sie die Beschwerdeführer in ihrer Stellungnahme vom 20. April 2020 (act. 9) aufgrund der Weigerung der Beschwerdegegnerin (aus prozessökonomischen Gründen) selbst berechnet haben.</w:t>
      </w:r>
    </w:p>
    <w:p>
      <w:r>
        <w:rPr>
          <w:b/>
        </w:rPr>
        <w:t>E. 7</w:t>
      </w:r>
    </w:p>
    <w:p>
      <w:r>
        <w:t>Nach dem Gesagten ist die Beschwerde in Zivilsachen teilweise gutzuheissen. Das Urteil des Obergerichts des Kantons Zürich vom 11. Dezember 2020 ist aufzuheben und die Sache zu neuer Entscheidung im Sinne der Erwägungen an dieses zurückzuweisen. Die Vorinstanz wird auch über die Kosten des kantonalen Verfahrens neu zu entscheiden haben. Bei diesem Ergebnis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