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4A_65/2019 vom 18. Februar 2020</w:t>
      </w:r>
    </w:p>
    <w:p>
      <w:r>
        <w:t>Bundesgericht, 2020-02-18, FR</w:t>
      </w:r>
    </w:p>
    <w:p>
      <w:r>
        <w:rPr>
          <w:b/>
        </w:rPr>
        <w:t xml:space="preserve">Quelle: </w:t>
      </w:r>
      <w:r>
        <w:t>https://mcp.opencaselaw.ch/entscheid/bger_4A_65_2019</w:t>
      </w:r>
    </w:p>
    <w:p>
      <w:r>
        <w:t>FR: TF 4A_65/2019 du 18 février 2020</w:t>
      </w:r>
    </w:p>
    <w:p>
      <w:r>
        <w:t>IT: TF 4A_65/2019 del 18 febbraio 2020</w:t>
      </w:r>
    </w:p>
    <w:p>
      <w:pPr>
        <w:pStyle w:val="Heading2"/>
      </w:pPr>
      <w:r>
        <w:t>Erwägungen</w:t>
      </w:r>
    </w:p>
    <w:p>
      <w:r>
        <w:rPr>
          <w:b/>
        </w:rPr>
        <w:t>E. 1</w:t>
      </w:r>
    </w:p>
    <w:p>
      <w:r>
        <w:t>Les conditions de recevabilité du recours en matière civile sont réalisées sur le principe, notamment sous l'angle de la valeur litigieuse minimale de 30'000 fr. ( art. 74 al. 1 let. b LTF ) et du délai pour recourir ( art. 100 al. 1 LTF ). Demeure réservé l'examen des griefs particuliers.</w:t>
      </w:r>
    </w:p>
    <w:p>
      <w:r>
        <w:rPr>
          <w:b/>
        </w:rPr>
        <w:t>E. 2.1</w:t>
      </w:r>
    </w:p>
    <w:p>
      <w:r>
        <w:t>Le recours en matière civile peut être exercé pour violation du droit fédéral ( art. 95 let. a LTF ), y compris le droit constitutionnel ( ATF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Par exception à la règle selon laquelle il applique le droit d'office, il n'examine la violation d'un droit constitutionnel que si le grief a été invoqué et motivé de façon détaillée ( art. 106 al. 2 LTF ; ATF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Selon les constatations cantonales qui lient l'autorité de céans ( art. 105 al. 1 LTF ), le patient a chargé le Dr. M.________, oeuvrant au sein de la permanence (recourante) en qualité de médecin, d'examiner son état et de prendre les mesures thérapeutiques adéquates. Il s'agit d'un contrat de mandat au sens de l' art. 394 al. 1 CO ( ATF 132 III 359 consid. 3.1 p. 362) et la responsabilité de la recourante s'analyse sous l'angle de l' art. 398 al. 1 CO , lequel renvoie aux règles régissant la responsabilité du travailleur dans les rapports de travail ( art. 321e CO ). Ceci n'est pas remis en question. La Cour de justice a jugé que la permanence avait violé son obligation de diligence en s'abstenant de procéder à un examen clinique correct et en posant un faux diagnostic: elle aurait dû constater une fracture de type "Garden I" du col fémoral gauche, alors qu'elle avait décelé uniquement une "contusion à la hanche gauche". Pour tout traitement, elle avait prescrit une piqûre antalgique et des médicaments anti-inflammatoires, alors qu'elle aurait dû immédiatement diriger le patient vers un chirurgien, la règle étant d'opérer par vissage en urgence, si possible dans les 6 heures consécutives au traumatisme. Elle avait ainsi retardé la prise en charge chirurgicale du patient. En raison de ce retard, la tête fémorale gauche s'était nécrosée, ce qui avait ultérieurement nécessité une nouvelle intervention chirurgicale destinée à la pose d'une prothèse de la hanche. L'atteinte au nerf sciatique s'était produite durant cette opération. Celle-ci avait été effectuée dans les règles de l'art, mais ce risque était inhérent. Il y avait un lien de causalité tant naturelle qu'adéquate entre ce délai et l'atteinte en question. La permanence était dès lors responsable du dommage subi par le patient ensuite de son incapacité de travail et de l'atteinte portée à son avenir économique.</w:t>
      </w:r>
    </w:p>
    <w:p>
      <w:r>
        <w:rPr>
          <w:b/>
        </w:rPr>
        <w:t>E. 4</w:t>
      </w:r>
    </w:p>
    <w:p>
      <w:r>
        <w:t>Dans un premier pan de son argumentation, la recourante soutient que le lien de causalité naturelle entre le diagnostic erroné et le dommage a été constaté à tort.</w:t>
      </w:r>
    </w:p>
    <w:p>
      <w:r>
        <w:rPr>
          <w:b/>
        </w:rPr>
        <w:t>E. 4.1</w:t>
      </w:r>
    </w:p>
    <w:p>
      <w:r>
        <w:t>La recourante prétend que la nécrose de la tête fémorale n'est pas consécutive au retard de prise en charge - dont elle ne conteste pas qu'il lui soit imputable - mais au type de fracture en cause. Elle explique que cette nécrose serait également survenue si la fracture avait été immédiatement diagnostiquée et opérée. En d'autres termes, elle soutient que, si elle avait adopté un comportement conforme au droit, le résultat eût été le même. Ce faisant, elle ne soulève pas une problématique de causalité dépassée, comme elle le prétend. Il s'agirait plutôt d'une objection fondée sur un comportement de substitution licite (sur cette notion, cf. ATF 122 III 229 consid. 5a/aa et les auteurs cités, notamment ERNST A. KRAMER, Die Kausalität im Haftpflichtrecht: Neue Tendenzen in Theorie und Praxis, in: RJB 123/1987, p. 295 s.). Cela étant, la prise en charge et le diagnostic incorrects imputables à la recourante s'analysent comme une omission. Le lien de causalité est dès lors hypothétique puisqu'il s'agit de savoir si la tête fémorale se serait pareillement nécrosée si la recourante avait formulé un diagnostic correct. En définitive, la recourante ne fait dès lors rien d'autre que de contester l'existence du lien de causalité hypothétique.</w:t>
      </w:r>
    </w:p>
    <w:p>
      <w:r>
        <w:rPr>
          <w:b/>
        </w:rPr>
        <w:t>E. 4.2</w:t>
      </w:r>
    </w:p>
    <w:p>
      <w:r>
        <w:t>La cour cantonale s'est déclarée convaincue de l'existence de ce lien de causalité sur le vu du rapport de l'expert judiciaire. Ce dernier a indiqué que la nécrose de la tête fémorale était liée à un problème de vascularité. La circulation sanguine diminuait ou se retrouvait bloquée si la pression intra-articulaire augmentait par suite d'un saignement dans le compartiment articulaire. Dans ce cas de figure, il fallait effectuer une décompression du compartiment articulaire par aspiration ou capsulotomie, ce qui avait d'ailleurs été le cas lors de la première intervention que le patient avait subie aux Etablissements C.________. Plus cette décompression intervenait tard, plus la survie de la tête fémorale était prétéritée. Ainsi, la fracture du col fémoral chez les jeunes patients était à considérer comme urgente. L'expert a conclu qu'"un diagnostic de fracture de type 'Garden I' du col fémoral directement posé par (la recourante) aurait permis de diminuer ou pallier le risque de nécrose aseptique de la tête fémorale gauche". A l'audience de débats principaux, il a ajouté qu'"il était clair que si l'intervention s'était déroulée tout de suite après la lésion, les risques d'une nécrose de la tête fémorale auraient été minimisés".</w:t>
      </w:r>
    </w:p>
    <w:p>
      <w:r>
        <w:rPr>
          <w:b/>
        </w:rPr>
        <w:t>E. 4.3</w:t>
      </w:r>
    </w:p>
    <w:p>
      <w:r>
        <w:t>La recourante estime que la preuve du lien de causalité naturelle n'a pas été apportée: il eût fallu, selon elle, que l'expert judiciaire puisse totalement exclure le risque de nécrose de la tête fémorale si l'intervention avait eu lieu de suite. Elle laisse ainsi entendre que la cour cantonale s'est contentée d'un degré de preuve qui était inapproprié ou que les conclusions de l'expert judiciaire ont été appréciées de manière incorrecte. Ce grief ne saurait cependant prospérer. La recourante soutient elle-même qu'en matière de causalité hypothétique, la jurisprudence se satisfait du degré de la vraisemblance prépondérante ( ATF 132 III 715 consid. 3.2 p. 720; 124 III 155 consid. 3d p. 165). La vraisemblance prépondérante suppose que, d'un point de vue objectif, des motifs importants plaident pour l'exactitude d'une allégation, sans que d'autres possibilités ne revêtent une importance significative ou n'entrent raisonnablement en considération ( ATF 133 III 81 consid. 4.2.2 p. 89; 132 III 715 consid. 3.1 p. 720). Or, on peut inférer des explications de l'expert judiciaire qu'il n'existait certes pas d'absolue certitude, mais bel et bien une vraisemblance prépondérante selon laquelle la tête fémorale ne se serait pas nécrosée si l'intervention chirurgicale avait eu lieu sans tarder. La recourante ne convainc pas en proposant une autre lecture. L'appréciation des preuves à laquelle s'est livrée la cour cantonale n'a rien d'arbitraire.</w:t>
      </w:r>
    </w:p>
    <w:p>
      <w:r>
        <w:t>Contrairement à ce que prétend la recourante, le pouvoir d'examen du Tribunal fédéral n'est pas illimité en cette matière. Certes, le Tribunal fédéral a coutume de préciser qu'il est lié, au sens de l' art. 105 al. 1 LTF , par les constatations concernant la causalité hypothétique lorsqu'elles reposent sur des faits ressortant de l'appréciation des preuves; en revanche, si la causalité hypothétique est déduite exclusivement de l'expérience de la vie, il revoit librement cette question de droit ( ATF 132 III 305 consid. 3.5 p. 311; 115 II 440 consid. 5b; arrêts 4A_403/2016 du 18 avril 2017 consid. 3.2, 4A_543/2016 du 1</w:t>
      </w:r>
    </w:p>
    <w:p>
      <w:r>
        <w:t>er novembre 2016 consid. 3.2.3). En l'espèce, l'appréciation des juges cantonaux s'est fondée sur une expertise judiciaire définissant les standards de diligence que l'on pouvait attendre et les conséquences des manquements constatés. Il se justifie ainsi de restreindre à l'arbitraire le pouvoir d'examen de l'autorité de céans. Cela étant, il est entendu que l'examen de la causalité adéquate, dans la mesure où il conserve un objet (cf. arrêt 4A_464/2008 du 22 décembre 2008 consid. 3.3.1), se fait avec un pouvoir d'examen libre ( ATF 143 III 242 consid. 3.7</w:t>
      </w:r>
    </w:p>
    <w:p>
      <w:r>
        <w:t>in fine ; cf. consid. 5</w:t>
      </w:r>
    </w:p>
    <w:p>
      <w:r>
        <w:t>infra ).</w:t>
      </w:r>
    </w:p>
    <w:p>
      <w:r>
        <w:rPr>
          <w:b/>
        </w:rPr>
        <w:t>E. 4.4</w:t>
      </w:r>
    </w:p>
    <w:p>
      <w:r>
        <w:t>La recourante estime que les conclusions de l'expertise judiciaire ne pourraient être suivies, l'expert s'étant écarté de l'expérience clinique et de la littérature médicale majoritaire pour suivre l'avis isolé de deux auteurs et faire prévaloir des considérations personnelles. On ne saurait davantage la suivre sur ce terrain. La cour cantonale a déjà discuté cet argument qu'elle a écarté pour des motifs que la recourante ne se donne pas la peine de discuter. Son grief, qui ne satisfait pas aux exigences de motivation, est dès lors irrecevable ( ATF 134 II 244 consid. 2.1 et 2.3).</w:t>
      </w:r>
    </w:p>
    <w:p>
      <w:r>
        <w:rPr>
          <w:b/>
        </w:rPr>
        <w:t>E. 4.5</w:t>
      </w:r>
    </w:p>
    <w:p>
      <w:r>
        <w:t>La recourante affirme encore, prétendant citer l'expert judiciaire et le Prof. N.________, chef du Département de chirurgie des Etablissements C.________, qu'un certain type de fracture favoriserait l'apparition d'une nécrose sans égard au délai de prise en charge. Rien de tel ne ressort toutefois du jugement cantonal. Certes, il y apparaît que le Dr O.________, chef de clinique aux Etablissements C.________, a déclaré qu'il n'y avait dans la littérature aucune preuve formelle qu'un retard de 24 à 36 heures dans la prise en charge chirurgicale augmentait le risque de nécrose aseptique. Ce risque était à son avis lié au type de fracture et non pas à un délai de prise en charge chirurgicale. Toutefois, ce praticien a confirmé, comme deux autres médecins en sus de l'expert, qu'une prise en charge en urgence était indispensable. Au surplus, il n'y a rien à redire, sous l'angle de l'arbitraire, au fait que la cour cantonale ait accordé la préséance aux constatations de l'expert judiciaire, qui a - selon ses termes - poussé son analyse plus loin pour répondre à la question posée. Ceci scelle le sort d'un autre des griefs de la recourante, qui prétend que la cour cantonale aurait fait fi de l'avis des médecins spécialistes consultés.</w:t>
      </w:r>
    </w:p>
    <w:p>
      <w:r>
        <w:rPr>
          <w:b/>
        </w:rPr>
        <w:t>E. 5</w:t>
      </w:r>
    </w:p>
    <w:p>
      <w:r>
        <w:t>Dans un second pan de son argumentation, la recourante reproche à la cour cantonale d'avoir retenu un lien de causalité adéquate entre l'erreur de diagnostic et le dommage. Cette argumentation se scinde elle-même en trois parties.</w:t>
      </w:r>
    </w:p>
    <w:p>
      <w:r>
        <w:rPr>
          <w:b/>
        </w:rPr>
        <w:t>E. 5.1</w:t>
      </w:r>
    </w:p>
    <w:p>
      <w:r>
        <w:t>Premièrement, la recourante prétend qu'il aurait fallu "prendre en compte l'évolution favorable post-opératoire" de l'intimé, ainsi que "les conséquences de la reprise de son activité lucrative" qu'elle qualifie de "physiquement contraignante". Avant d'apprécier, sous l'angle de la causalité adéquate, l'importance que revêt une cause concomitante, il faut avoir déjà constaté en fait l'existence d'un tel élément ayant concouru à la survenance du dommage. Or, force est d'admettre qu'une telle constatation fait défaut, l'argument étant apparemment nouveau.</w:t>
      </w:r>
    </w:p>
    <w:p>
      <w:r>
        <w:t>La recourante fait ensuite valoir que la lésion du nerf sciatique pendant l'opération de pose de prothèse de la hanche est exceptionnelle et imprévisible, ce qui ne permettrait pas d'admettre que cette opération était, selon le cours ordinaire des choses et l'expérience générale de la vie, propre à entraîner une telle lésion. Certes, il ressort du jugement cantonal que cette lésion survient dans un nombre très restreint de cas (1 à 2 %). Cela étant, le caractère adéquat d'une cause ne suppose pas que l'effet considéré se produise généralement, ni même qu'il soit courant. Il suffit qu'il s'inscrive dans le champ raisonnable des possibilités objectivement prévisibles ( ATF 143 III 242 consid. 3.7 p. 250; 139 V 176 consid. 8.4.2; 96 II 392 consid. 2). Tel est bien le cas ici. Il n'y a dès lors nulle violation du droit dont la recourante serait fondée à se plaindre.</w:t>
      </w:r>
    </w:p>
    <w:p>
      <w:r>
        <w:rPr>
          <w:b/>
        </w:rPr>
        <w:t>E. 5.2</w:t>
      </w:r>
    </w:p>
    <w:p>
      <w:r>
        <w:t>La recourante soutient également que la troisième opération chirurgicale, lors de laquelle le nerf sciatique de l'intimé a été endommagé, a interrompu le lien de causalité adéquate. Certes, une telle interruption peut se concevoir en présence d'un événement extraordinaire ou exceptionnel auquel on ne pouvait s'attendre (force naturelle, fait du lésé ou d'un tiers) qui revêt une importance telle qu'il s'impose comme la cause la plus immédiate du dommage et relègue à l'arrière-plan les autres facteurs ayant contribué à le provoquer - y compris le fait imputable à la partie recherchée. Toutefois, il n'y a ici nulle faute des Etablissements C.________ susceptible d'intervenir à ce titre, ni intervention d'un élément naturel en tant que tel. De l'avis de l'expert, il s'agit d'un risque inhérent à l'opération, qui entre dans le champ du possible, mais se produit rarement, de l'aveu même de la recourante; or, l'opération comportant ce risque a été provoquée par la nécrose elle-même imputable au mauvais diagnostic de la recourante. Ce grief doit pareillement être rejeté.</w:t>
      </w:r>
    </w:p>
    <w:p>
      <w:r>
        <w:rPr>
          <w:b/>
        </w:rPr>
        <w:t>E. 6</w:t>
      </w:r>
    </w:p>
    <w:p>
      <w:r>
        <w:t>Finalement, la recourante se plaint d'une violation de l' art. 106 CPC . La cour cantonale a confirmé que cette partie défenderesse était redevable de l'intégralité des frais judiciaires de première instance, vu la nature du litige, le fait que le demandeur avait obtenu gain de cause sur le principe de ses conclusions et (grâce à l'appel) sur une part importante de leur montant. Elle s'est fondée en cela sur l' art. 107 al. 1 let. a CPC , qui lui laissait une latitude appréciable à cet égard. Contrairement à ce que la recourante infère, il n'apparaît pas qu'elle en ait abusé en la circonstance. Il importe peu que la présente affaire n'implique pas de compagnie d'assurance, comme dans le précédent cité par la cour cantonale. Quant aux dépens, la cour cantonale s'est dispensée de traiter la critique de la recourante dans la mesure où elle n'était pas développée. La recourante ne fait pas valoir qu'il aurait dû en être autrement.</w:t>
      </w:r>
    </w:p>
    <w:p>
      <w:r>
        <w:t>La recourante ne formule aucun autre grief contre l'arrêt attaqué, de sorte que la cour de céans n'a pas à en rediscuter les autres aspects (cf. consid. 2.1</w:t>
      </w:r>
    </w:p>
    <w:p>
      <w:r>
        <w:t>supra ).</w:t>
      </w:r>
    </w:p>
    <w:p>
      <w:r>
        <w:rPr>
          <w:b/>
        </w:rPr>
        <w:t>E. 7</w:t>
      </w:r>
    </w:p>
    <w:p>
      <w:r>
        <w:t>Partant, le recours doit être rejeté dans la mesure où il est recevable. En conséquence, la recourante supportera les frais de procédure fixés à 6'500 fr. et versera à chacune de ses deux adverses parties une indemnité de 7'500 fr.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