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4A_659/2017 vom 18. Mai 2018</w:t>
      </w:r>
    </w:p>
    <w:p>
      <w:r>
        <w:t>Bundesgericht, 2018-05-18, DE</w:t>
      </w:r>
    </w:p>
    <w:p>
      <w:r>
        <w:rPr>
          <w:b/>
        </w:rPr>
        <w:t xml:space="preserve">Quelle: </w:t>
      </w:r>
      <w:r>
        <w:t>https://mcp.opencaselaw.ch/entscheid/bger_4A_659_2017</w:t>
      </w:r>
    </w:p>
    <w:p>
      <w:r>
        <w:t>FR: TF 4A_659/2017 du 18 mai 2018</w:t>
      </w:r>
    </w:p>
    <w:p>
      <w:r>
        <w:t>IT: TF 4A_659/2017 del 18 maggio 2018</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richtet sich gegen den Endentscheid ( Art. 90 BGG ) eines oberen kantonalen Gerichts, das in einer Zivilsache ( Art. 72 BGG ) als Rechtsmittelinstanz entschieden ( Art. 75 BGG ) und die Anträge des Beschwerdeführers abgewiesen hat ( Art. 76 BGG ). Der Streitwert in der vorliegenden Streitigkeit ( Art. 74 Abs. 1 lit. b BGG ) ist erreicht und die Beschwerdefrist ( Art. 100 BGG ) ist eingehalten.</w:t>
      </w:r>
    </w:p>
    <w:p>
      <w:r>
        <w:t>Auf die Beschwerde ist - vorbehältlich zulässiger Anträge und einer hinreichenden Begründung (Art. 42 i.V.m.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Verweisen; vgl. auch BGE 143 IV 40 E. 3.4 S. 44).</w:t>
      </w:r>
    </w:p>
    <w:p>
      <w:r>
        <w:rPr>
          <w:b/>
        </w:rPr>
        <w:t>E. 1.3</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1.4</w:t>
      </w:r>
    </w:p>
    <w:p>
      <w:r>
        <w:t>Der Beschwerdeführer verfehlt die gesetzlichen Anforderungen an eine hinreichende Rüge, wenn er der Vorinstanz eine Verletzung des Rechtsgleichheitsgebots vorwirft, ohne jedoch rechtsgenüglich darzulegen, inwiefern eine Verletzung dieses Grundrechtes vorliege.</w:t>
      </w:r>
    </w:p>
    <w:p>
      <w:r>
        <w:rPr>
          <w:b/>
        </w:rPr>
        <w:t>E. 2</w:t>
      </w:r>
    </w:p>
    <w:p>
      <w:r>
        <w:t>Der Beschwerdeführer rügt eine willkürliche Sachverhaltsfeststellung.</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2.2.1</w:t>
      </w:r>
    </w:p>
    <w:p>
      <w:r>
        <w:t>Der Beschwerdeführer bringt vor, die Annahme der Vorinstanz, die Bezahlung des Kaufpreises habe über ihn zu erfolgen, sei offensichtlich falsch. Zuständig dafür sei der mit der öffentlichen Beurkundung der Hauptverträge befasste basellandschaftliche Notar.</w:t>
      </w:r>
    </w:p>
    <w:p>
      <w:r>
        <w:t>Unbestritten ist die Feststellung der Vorinstanz, der Beschwerdeführer habe die erhaltenen Fr. 1'089'000.-- nicht zurückbezahlt, sondern (teilweise) für die Ablösung der Schuldbriefe weiterverwendet. Ebenfalls unbestritten ist, dass die Beschwerdegegnerin mit Schreiben vom 4. Juli 2011 den Beschwerdeführer darüber informierte, sie habe ihm</w:t>
      </w:r>
    </w:p>
    <w:p>
      <w:r>
        <w:t>gestützt auf den Vorvertrag den Restkaufpreis von Fr. 500'000.-- überwiesen. Vor diesem Hintergrund erscheint die Annahme der Vorinstanz nicht als willkürlich, der Beschwerdeführer sei in den Vorverträgen als Zahlstelle eingesetzt worden. Wenn - wie der Beschwerdeführer vorbringt - der Kaufpreis nicht an ihn, sondern an den für die öffentliche Beurkundung der Hauptverträge zuständigen basellandschaftlichen Notar zu überweisen gewesen wäre, liesse sich nicht erklären, weshalb der Beschwerdeführer das erhaltene Geld nicht umgehend an die Beschwerdegegerin retournierte bzw. sie über dieses Versehen nicht in Kenntnis setzte. Indem er die erhaltenen Gelder unbestrittenerweise teilweise an die Bank D.________ weiterleitete, gleichzeitig aber vorbringt, die Bezahlung des Kaufpreises habe nicht über ihn zu erfolgen, verhält sich der Beschwerdeführer widersprüchlich. Der Vorwurf der willkürlichen Sachverhaltsfeststellung ist unbegründet.</w:t>
      </w:r>
    </w:p>
    <w:p>
      <w:r>
        <w:t>Zudem kann dem Beschwerdeführer nicht gefolgt werden, wenn er behauptet, die Vorinstanz leite aus seiner vermeintlichen Einsetzung als Zahlstelle in den Vorverträgen ab, er müsse sich das Wissen aus diesen Vorverträgen anrechnen lassen. Er verkennt, dass die Anrechnung des Wissens aus den Vorverträgen sich nach den Erwägungen der Vorinstanz vielmehr aus dem Umstand ergibt, dass der Beschwerdeführer diese notariell beurkundete.</w:t>
      </w:r>
    </w:p>
    <w:p>
      <w:r>
        <w:rPr>
          <w:b/>
        </w:rPr>
        <w:t>E. 2.2.2</w:t>
      </w:r>
    </w:p>
    <w:p>
      <w:r>
        <w:t>Der Beschwerdeführer macht zudem geltend, die Vorinstanz habe zu Unrecht angenommen, die Fremdfinanzierung der fraglichen Käufe sei aus seiner Sicht erkennbar gewesen. Dies sei von der Beschwerdegegnerin im kantonalen Verfahren nie behauptet worden.</w:t>
      </w:r>
    </w:p>
    <w:p>
      <w:r>
        <w:t>Entgegen der Auffassung des Beschwerdeführers kann aus der Aussage der Beschwerdegegnerin in ihrer Duplik ("Der Umstand, dass die Kaufpreise an einen Notar statt direkt an die Verkäuferin bezahlt wurden, konnte im damaligen Kontext nur die Bedeutung haben, dass die finanzierende Bank sich vor einer Zweckentfremdung absichern wollte. Diese Absicht konnte dem Beklagten nicht verborgen bleiben ") sehr wohl abgeleitet werden, dass die Transaktionen fremdfinanziert waren und dass dieser Umstand für den Beschwerdeführer erkennbar war. Mit der Behauptung, aus dieser Aussage könne einzig die Absicherungsabsicht der Beschwerdegegnerin als Bank abgeleitet werden, nicht jedoch der Umstand, dass die Käufe fremdfinanziert seien, vermag der Beschwerdeführer keine Willkür aufzuzeigen. Es liegt auf der Hand, dass die Beschwerdegegnerin ein derartiges Absicherungsinteresse nur insofern hatte, als sie die Transaktionen selber (mit-) finanzierte. Somit erübrigt sich auch die Prüfung einer im gleichen Zusammenhang gerügten Verletzung des Anspruchs auf rechtliches Gehör bzw. des Rechts auf Beweis.</w:t>
      </w:r>
    </w:p>
    <w:p>
      <w:r>
        <w:rPr>
          <w:b/>
        </w:rPr>
        <w:t>E. 2.2.3</w:t>
      </w:r>
    </w:p>
    <w:p>
      <w:r>
        <w:t>Der Beschwerdeführer bringt zudem vor, die Vorinstanz habe den Sachverhalt unrichtig festgestellt, indem sie festhielt, die Beschwerdegegnerin habe erst nach dem Abschluss des Hauptvertrags bezüglich der Parzelle xxx Gelder an den Beschwerdeführer überwiesen. Diese Rüge hat unbeachtet zu bleiben, zeigt doch der Beschwerdeführer nicht auf, inwiefern die Behebung dieses angeblichen Mangels für den Ausgang des Verfahrens entscheidend sein soll ( Art. 97 Abs. 1 BGG ).</w:t>
      </w:r>
    </w:p>
    <w:p>
      <w:r>
        <w:rPr>
          <w:b/>
        </w:rPr>
        <w:t>E. 2.3</w:t>
      </w:r>
    </w:p>
    <w:p>
      <w:r>
        <w:t>Nach dem Ausgeführten ist vom Sachverhalt auszugehen, wie ihn die Vorinstanz festgestellt hat; der Beschwerdeführer kann nicht gehört werden, soweit er seine Vorbringen auf davon abweichende Sachverhaltselemente stützt.</w:t>
      </w:r>
    </w:p>
    <w:p>
      <w:r>
        <w:rPr>
          <w:b/>
        </w:rPr>
        <w:t>E. 3</w:t>
      </w:r>
    </w:p>
    <w:p>
      <w:r>
        <w:t>Die Vorinstanz führt aus, im Dreiecksverhältnis zwischen dem Käufer, der Beschwerdegegnerin und dem Beschwerdeführer bestehe eine Anweisung im Sinne von Art. 466 ff. OR , wobei der Käufer Anweisender, die Beschwerdegegnerin Angewiesene und der Beschwerdeführer Anweisungsempfänger seien. Diese Anweisung schliesse jedoch ein Auftragsverhältnis zwischen dem Beschwerdeführer und der Beschwerdegegnerin nicht aus. Die Vorinstanz erblickt - angesichts des Kenntnisstandes des Beschwerdeführers als Notar infolge seiner Beurkundung der Vorverträge - in der Überweisung von Geldern an ihn und den entsprechenden Vermerken eine Offerte. Indem der Beschwerdeführer das erhaltene Geld nicht zurückgab, sondern es teilweise zur Ablösung der Schuldbriefe verwendete, nahm er diese Offerte an. Auch dies sei wiederum vor dem Hintergrund zu würdigen, dass er infolge der Beurkundung der drei Vorverträge wusste, dass die Stockwerkeigentumsanteile pfandrechtsfrei zu übergeben waren.</w:t>
      </w:r>
    </w:p>
    <w:p>
      <w:r>
        <w:t>Die Vorinstanz gelangt zum Schluss, zwischen den Parteien sei in Bezug auf jeden der drei Stockwerkeigentumsanteile ein Auftrag zustande gekommen. Inhalt dieser Aufträge sei nicht nur die Ablösung der Schuldbriefe im zweiten, dritten und vierten Rang, sondern auch die Ablösung des Namensschuldbriefes im ersten Rang über Fr. 1'200'000.--.</w:t>
      </w:r>
    </w:p>
    <w:p>
      <w:r>
        <w:rPr>
          <w:b/>
        </w:rPr>
        <w:t>E. 4</w:t>
      </w:r>
    </w:p>
    <w:p>
      <w:r>
        <w:t>Der Beschwerdeführer rügt, die Vorinstanz habe Bundesrecht verletzt, indem sie das Bestehen eines Rechtsverhältnisses zwischen den Parteien bejahte. Nicht bestritten ist vorliegend die Nichtanwendung des kantonalen öffentlichen Rechts durch die Vorinstanz (vgl. zur Unterscheidung zwischen amtlichen und privatrechtlichen Verrichtungen des Notars und zu den entsprechenden Haftungsgrundlagen BGE 126 III 370 ). Der Beschwerdeführer bestreitet jedoch das Bestehen eines Auftragsverhältnisses ( Art. 394 ff. OR ) zwischen den Parteien und rügt eine Verletzung von Art. 1 und Art. 466 OR .</w:t>
      </w:r>
    </w:p>
    <w:p>
      <w:r>
        <w:rPr>
          <w:b/>
        </w:rPr>
        <w:t>E. 4.1</w:t>
      </w:r>
    </w:p>
    <w:p>
      <w:r>
        <w:t>Ob ein natürlicher Konsens vorliegt, ist eine Tatfrage, die das Bundesgericht nicht frei überprüft. Ob ein normativer Konsens vorliegt, ist zwar eine Rechtsfrage; bei ihrer Prüfung ist das Bundesgericht jedoch an die vorinstanzlichen Feststellungen zu den tatsächlichen Umständen des Vertragsschlusses gebunden ( BGE 138 III 659 E. 4.2.1; 133 III 61 E. 2.2.1; 132 III 268 E. 2.3.2, je mit Hinweisen).</w:t>
      </w:r>
    </w:p>
    <w:p>
      <w:r>
        <w:rPr>
          <w:b/>
        </w:rPr>
        <w:t>E. 4.2</w:t>
      </w:r>
    </w:p>
    <w:p>
      <w:r>
        <w:t>Der Beschwerdeführer stützt seine Ausführungen zum (angeblichen) Nichtzustandekommen von Auftragsverhältnissen mit der Beschwerdegegnerin auf Tatsachen, die von den verbindlichen vorinstanzlichen Sachverhaltsfeststellungen abweichen. Somit haben seine Vorbringen, wonach die Bezahlung des Kaufpreises nicht über ihn zu erfolgen habe, kein Honorar für seine Tätigkeit als Zahl- und Treuhandstelle vereinbart worden sei, er das Zahl- und Treuhandstellenmandat ausdrücklich abgelehnt habe, und er vor den Überweisungen der Beschwerdegegnerin an ihn jeweils entsprechende Mitteilungen des Käufers erhalten habe, unbeachtet zu bleiben. Dasselbe gilt hinsichtlich seiner Behauptung, der Käufer habe aus der Unerfahrenheit der Beschwerdegegnerin einen Vorteil ziehen wollen, indem er ihr gegenüber die Rolle des Beschwerdeführers als diejenige einer Treuhandstelle dargestellt habe. Auch insofern er vorbringt, es wäre deutlich einfacher gewesen, den Kaufpreis direkt an die Verkäuferbank zu überweisen, kann er nicht gehört werden, stellte doch die Vorinstanz fest, er sei als Zahl- und Treuhandstelle eingesetzt worden.</w:t>
      </w:r>
    </w:p>
    <w:p>
      <w:r>
        <w:t>Diese Sachverhaltselemente haben unbeachtet zu bleiben ( Art. 105 Abs. 1 BGG , vgl. E. 2.1 hiervor). Wird ausschliesslich auf den vorinstanzlich festgestellten Sachverhalt abgestellt, ist aus den Ausführungen des Beschwerdeführers nicht erkennbar, inwiefern das Bundesrecht durch den angefochtenen Entscheid verletzt sein soll. Folglich vermag er die vorinstanzliche Erwägung, wonach zwischen den Verfahrensparteien Auftragsverhältnisse zustande gekommen seien, nicht als bundesrechtswidrig auszuweisen.</w:t>
      </w:r>
    </w:p>
    <w:p>
      <w:r>
        <w:rPr>
          <w:b/>
        </w:rPr>
        <w:t>E. 5</w:t>
      </w:r>
    </w:p>
    <w:p>
      <w:r>
        <w:t>Für den Fall, dass entgegen seinen Ausführungen das Bestehen eines Auftrages bejaht werden sollte, macht der Beschwerdeführer eventualiter geltend, dieser beinhalte keine Pflicht des Beschwerdeführers, den Namensschuldbrief im ersten Rang über Fr. 1'200'000.-- abzulösen. Weiter könne die Verpflichtung zur Erwirkung der Entlassung der Stockwerkeigentumsanteile nicht Gegenstand eines Auftrages sein.</w:t>
      </w:r>
    </w:p>
    <w:p>
      <w:r>
        <w:rPr>
          <w:b/>
        </w:rPr>
        <w:t>E. 5.1.1</w:t>
      </w:r>
    </w:p>
    <w:p>
      <w:r>
        <w:t>Der Beschwerdeführer bringt vor, den direkten Instruktionen der Beschwerdegegnerin an ihn sei über die Ablösung des Schuldbriefes im ersten Rang nichts zu entnehmen. Da sie nicht Vertragspartei der Vorverträge sei, könne die Beschwerdegegnerin keinen über ihre Instruktionen an den Beschwerdeführer hinausgehenden Willen zum Ausdruck gebracht haben.</w:t>
      </w:r>
    </w:p>
    <w:p>
      <w:r>
        <w:rPr>
          <w:b/>
        </w:rPr>
        <w:t>E. 5.1.2</w:t>
      </w:r>
    </w:p>
    <w:p>
      <w:r>
        <w:t>Dass die Beschwerdegegnerin als finanzierende Bank nicht Vertragspartei der Vorverträge war, ist unbestritten. Entgegen den Ausführungen des Beschwerdeführers ist dieser Umstand jedoch ohne Belang. Als entscheidend erachtete die Vorinstanz, dass der Beschwerdeführer aufgrund seiner Kenntnis des Inhaltes der Vorverträge wusste, dass die Kaufgegenstände pfandrechtsfrei zu übergeben waren. Darauf hat die Identität der Vertragsparteien der Vorverträge keinen Einfluss.</w:t>
      </w:r>
    </w:p>
    <w:p>
      <w:r>
        <w:rPr>
          <w:b/>
        </w:rPr>
        <w:t>E. 5.2.1</w:t>
      </w:r>
    </w:p>
    <w:p>
      <w:r>
        <w:t>Der Beschwerdeführer macht geltend, die Beschwerdegegnerin habe die Folgen ihrer mangelhaften Instruktionen selbst zu tragen. Es könne nicht von ihm erwartet werden, dass er diese Instruktionen selber ergänze, vor allem angesichts der grossen Erfahrung der Beschwerdegegnerin im Hypothekargeschäft. Weiter hätten die von der Beschwerdegegnerin überwiesenen Mittel nicht ausgereicht, um sämtliche Schuldbriefe abzulösen.</w:t>
      </w:r>
    </w:p>
    <w:p>
      <w:r>
        <w:rPr>
          <w:b/>
        </w:rPr>
        <w:t>E. 5.2.2</w:t>
      </w:r>
    </w:p>
    <w:p>
      <w:r>
        <w:t>Der Beauftrage ist dazu verpflichtet, die Interessen des Auftraggebers sorgfältig und treu zu wahren. Wurde dem Beauftragten eine unzweckmässige bzw. sinnlose Weisung erteilt, so hat er den Auftraggeber darüber aufzuklären und dessen Stellungnahme zu erwirken. Sobald er die Unzweckmässigkeit bzw. Sinnlosigkeit der Weisung erkennt, so muss er, um seinen Sorgfaltspflichten zu genügen, die erforderlichen Abklärungen ohne Verzug vornehmen und bei Bedarf den Auftraggeber sofort orientieren. Als Fachmann hat er von sich aus über die Zweckmässigkeit des Auftrages und der Weisungen Auskunft zu geben ( BGE 115 II 62 E. 3a; 108 II 197 E. 2a; je mit Hinweisen).</w:t>
      </w:r>
    </w:p>
    <w:p>
      <w:r>
        <w:t>Es trifft zu, dass die von der Beschwerdegegnerin erhaltenen Instruktionen die Ablösung des Namensschuldbriefes im ersten Rang nicht erfassten. Es liegt jedoch auf der Hand, dass die Ablösung der Schuldbriefe im zweiten, dritten und vierten Rang von begrenztem Nutzen ist, solange ein Schuldbrief im ersten Rang über Fr. 1'200'000.-- zugunsten der Bank D.________ die drei Grundstücke weiterhin belastet. Ob die Instruktionen der Beschwerdegegnerin als "sinnlos" oder bloss als "unzweckmässig" aufzufassen sind, ist entgegen der Auffassung des Beschwerdeführers dabei ohne Bedeutung, zumal der Beschwerdeführer aufgrund seiner Sorgfalts- und Treuepflicht jedenfalls verpflichtet gewesen wäre, durchentsprechende Abklärungen bzw. Rückfragen die nötige Klarheit zu schaffen. Dies gilt umso mehr, als er infolge der Beurkundung der Vorverträge wusste, dass die drei Stockwerkeigentumsanteile pfandrechtsfrei zu übergeben waren.</w:t>
      </w:r>
    </w:p>
    <w:p>
      <w:r>
        <w:t>Nichts anderes gilt hinsichtlich der Höhe der zur Ausführung des Auftrages erhaltenen Gelder. Nach der verbindlichen Feststellung der Vorinstanz erhielt der Beschwerdeführer insgesamt Fr. 1'089'000.-- von der Beschwerdegegnerin überwiesen. Da allein der Kapitalausstand des Schuldbriefes im ersten Rang zum damaligen Zeitpunkt Fr. 1'200'000.-- betrug, reichte diese Summe zu seiner Ablösung nicht aus. Daraus kann jedoch, entgegen den Ausführungen des Beschwerdeführers, nicht abgeleitet werden, die Aufträge erfassten nur die Ablösung der drei übrigen Schuldbriefe, ergibt sich doch ihr Inhalt vielmehr aus den vom Beschwerdeführer beurkundeten Vorverträgen. Wie bereits dargelegt, sehen diese die pfandrechtsfreie Übertragung der Stockwerkeigentumsanteile vor. Da die an ihn überwiesenen Gelder nicht ausreichten, wäre der Beschwerdeführer aufgrund seiner auftragsrechtlichen Sorgfalts- und Treuepflicht verpflichtet gewesen, die Beschwerdegegnerin auf den Fehlbetrag hinzuweisen.</w:t>
      </w:r>
    </w:p>
    <w:p>
      <w:r>
        <w:rPr>
          <w:b/>
        </w:rPr>
        <w:t>E. 5.3.1</w:t>
      </w:r>
    </w:p>
    <w:p>
      <w:r>
        <w:t>Der Beschwerdeführer rügt, Ziffer 1 des Dispositivs des von der Vorinstanz geschützten erstinstanzlichen Entscheides verpflichte ihn in unzulässiger Weise zu einem Erfolg. Als Beauftragter schulde er jedoch keinen Erfolg, sondern nur eine sorgfältige Tätigkeitsausübung. Zudem könne er nicht dazu verpflichtet werden, eigene Mittel für die Erfüllung des erteilten Auftrages einzusetzen.</w:t>
      </w:r>
    </w:p>
    <w:p>
      <w:r>
        <w:rPr>
          <w:b/>
        </w:rPr>
        <w:t>E. 5.3.2</w:t>
      </w:r>
    </w:p>
    <w:p>
      <w:r>
        <w:t>Nach Dispositivziffer 1 des erstinstanzlichen Entscheides wurde der Beschwerdeführer dazu verpflichtet, innert einer Frist von zwei Monaten die Entlassung der fraglichen drei Stockwerkeigentumsanteile aus der Pfandhaft des darauf lastenden Namenschuldbriefs im ersten Rang über Fr. 1'200'000.-- zu erwirken. Falls er dieser Aufforderung nicht innert Frist nachkommt, hat der Beschwerdeführer gemäss der zweiten Dispositivziffer Fr. 608'727.30 zzgl. Zins an die Bank D.________ zwecks Entlassung der Parzellen aus der Pfandhaft zu zahlen.</w:t>
      </w:r>
    </w:p>
    <w:p>
      <w:r>
        <w:t>Dem Beschwerdeführer ist darin beizupflichten, dass der Beauftragte keinen Erfolg, sondern ein sorgfältiges Tätigwerden im Interesse des Auftraggebers schuldet. Insofern erstaunt es, wenn der Beschwerdeführer in Ziffer 1 des Entscheiddispositivs zum</w:t>
      </w:r>
    </w:p>
    <w:p>
      <w:r>
        <w:t>Erwirken der Pfandablösung verpflichtet wird. Bei genauer Betrachtung wird jedoch keine Erfolgshaftung des Beschwerdeführers begründet, ist doch die erste Dispositivziffer in Zusammenhang mit der zweiten zu lesen. Falls der Beschwerdeführer der Aufforderung nach Ziffer 1 nicht nachkommt, hat er nicht etwa für den ausgebliebenen Erfolg zu haften, sondern wird lediglich dazu verpflichtet, einen Teil der von der Beschwerdegegnerin erhaltenen Gelder zwecks Entlassung der Parzelle aus dem Schuldbrief im ersten Rang zu verwenden. Dabei handelt es sich nicht etwa, wie der Beschwerdeführer anzunehmen scheint, um Schadenersatz, sondern um eine vom Gericht im Hinblick auf die Vollstreckung festgesetzte Geldleistung im Sinne von Art. 345 Abs. 1 lit. b ZPO .</w:t>
      </w:r>
    </w:p>
    <w:p>
      <w:r>
        <w:rPr>
          <w:b/>
        </w:rPr>
        <w:t>E. 5.3.3</w:t>
      </w:r>
    </w:p>
    <w:p>
      <w:r>
        <w:t>Insofern der Beschwerdeführer geltend macht, er könne nicht zum Einsatz von persönlichen Mitteln zur Erfüllung des Auftrages verpflichtet werden, kann er nicht gehört werden. Nach der - von ihm nicht bestrittenen - Feststellung der Vorinstanz überwies der Beschwerdeführer von den erhaltenen Fr. 1'089'000.-- nur Fr. 291'000.-- an die Bank D.________ weiter. Folglich geht es nicht darum, eigene Mittel zur Ablösung des Schuldbriefes einzusetzen; die von der Beschwerdegegnerin bevorschussten Mittel reichen zum angeordneten Zweck vollkommen aus.</w:t>
      </w:r>
    </w:p>
    <w:p>
      <w:r>
        <w:rPr>
          <w:b/>
        </w:rPr>
        <w:t>E. 6</w:t>
      </w:r>
    </w:p>
    <w:p>
      <w:r>
        <w:t>Der Beschwerdeführer bringt vor, er sei nicht zur Rechenschaft verpflichtet. Da er dies einzig damit begründet, zwischen ihm und der Beschwerdegegnerin bestehe kein Vertragsverhältnis, dies sich aber als unzutreffend herausstellte, erübrigt es sich angesichts des Ausgeführten, auf seine entsprechenden Vorbringen einzutreten.</w:t>
      </w:r>
    </w:p>
    <w:p>
      <w:r>
        <w:rPr>
          <w:b/>
        </w:rPr>
        <w:t>E. 7</w:t>
      </w:r>
    </w:p>
    <w:p>
      <w:r>
        <w:t>Die Beschwerde ist abzuweisen, soweit darauf eingetreten werden kann. Der Beschwerdeführer wird bei diesem Verfahrensausgang kostenpflichtig ( Art. 66 Abs. 1 BGG ). Der Beschwerdegegnerin wird für das bundesgerichtliche Verfahren eine Parteientschädigung zugesprochen ( Art. 68 Abs. 2 BGG ).</w:t>
      </w:r>
    </w:p>
    <w:p>
      <w:r>
        <w:t>Der Beschwerdeführer beantragt, die Kosten des Zwischenverfahrens auf Erlass von vorsorglichen Massnahmen seien der Beschwerdegegnerin aufzuerlegen. Entgegen der Ansicht des Beschwerdeführers werden diese Kosten grundsätzlich nach dem Ausgang des Hauptverfahrens verteilt. Inwiefern die Beschwerdegegnerin mit ihrem Gesuch unnötige Kosten ( Art. 66 Abs. 3 BGG ) verursachte, legt er nicht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